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209669">
      <w:pPr>
        <w:spacing w:line="560" w:lineRule="exact"/>
        <w:jc w:val="left"/>
        <w:rPr>
          <w:rFonts w:hint="eastAsia" w:ascii="方正黑体简体" w:hAnsi="方正黑体简体" w:eastAsia="方正黑体简体" w:cs="方正黑体简体"/>
          <w:sz w:val="32"/>
          <w:szCs w:val="32"/>
        </w:rPr>
      </w:pPr>
      <w:r>
        <w:rPr>
          <w:rFonts w:hint="eastAsia" w:ascii="方正黑体简体" w:hAnsi="方正黑体简体" w:eastAsia="方正黑体简体" w:cs="方正黑体简体"/>
          <w:sz w:val="32"/>
          <w:szCs w:val="32"/>
        </w:rPr>
        <w:t>附件1</w:t>
      </w:r>
    </w:p>
    <w:p w14:paraId="30372299">
      <w:pPr>
        <w:spacing w:line="560" w:lineRule="exact"/>
        <w:jc w:val="center"/>
        <w:rPr>
          <w:rFonts w:ascii="Times New Roman" w:hAnsi="Times New Roman" w:eastAsia="方正小标宋简体"/>
          <w:sz w:val="36"/>
          <w:szCs w:val="36"/>
        </w:rPr>
      </w:pPr>
      <w:r>
        <w:rPr>
          <w:rFonts w:ascii="Times New Roman" w:hAnsi="Times New Roman" w:eastAsia="方正小标宋简体"/>
          <w:sz w:val="36"/>
          <w:szCs w:val="36"/>
        </w:rPr>
        <w:t>通辽市直事业单位2026年第一批次人才引进</w:t>
      </w:r>
    </w:p>
    <w:p w14:paraId="4E370300">
      <w:pPr>
        <w:spacing w:line="560" w:lineRule="exact"/>
        <w:jc w:val="center"/>
        <w:rPr>
          <w:rFonts w:ascii="Times New Roman" w:hAnsi="Times New Roman" w:eastAsia="方正小标宋简体"/>
          <w:sz w:val="36"/>
          <w:szCs w:val="36"/>
        </w:rPr>
      </w:pPr>
      <w:r>
        <w:rPr>
          <w:rFonts w:ascii="Times New Roman" w:hAnsi="Times New Roman" w:eastAsia="方正小标宋简体"/>
          <w:sz w:val="36"/>
          <w:szCs w:val="36"/>
        </w:rPr>
        <w:t>人才评价表（</w:t>
      </w:r>
      <w:r>
        <w:rPr>
          <w:rFonts w:hint="eastAsia" w:ascii="Times New Roman" w:hAnsi="Times New Roman" w:eastAsia="方正小标宋简体"/>
          <w:sz w:val="36"/>
          <w:szCs w:val="36"/>
        </w:rPr>
        <w:t>体育系统</w:t>
      </w:r>
      <w:r>
        <w:rPr>
          <w:rFonts w:ascii="Times New Roman" w:hAnsi="Times New Roman" w:eastAsia="方正小标宋简体"/>
          <w:sz w:val="36"/>
          <w:szCs w:val="36"/>
        </w:rPr>
        <w:t>）</w:t>
      </w:r>
    </w:p>
    <w:tbl>
      <w:tblPr>
        <w:tblStyle w:val="4"/>
        <w:tblW w:w="9722" w:type="dxa"/>
        <w:jc w:val="center"/>
        <w:tblLayout w:type="fixed"/>
        <w:tblCellMar>
          <w:top w:w="0" w:type="dxa"/>
          <w:left w:w="108" w:type="dxa"/>
          <w:bottom w:w="0" w:type="dxa"/>
          <w:right w:w="108" w:type="dxa"/>
        </w:tblCellMar>
      </w:tblPr>
      <w:tblGrid>
        <w:gridCol w:w="739"/>
        <w:gridCol w:w="713"/>
        <w:gridCol w:w="5488"/>
        <w:gridCol w:w="709"/>
        <w:gridCol w:w="744"/>
        <w:gridCol w:w="643"/>
        <w:gridCol w:w="686"/>
      </w:tblGrid>
      <w:tr w14:paraId="0ABD1317">
        <w:tblPrEx>
          <w:tblCellMar>
            <w:top w:w="0" w:type="dxa"/>
            <w:left w:w="108" w:type="dxa"/>
            <w:bottom w:w="0" w:type="dxa"/>
            <w:right w:w="108" w:type="dxa"/>
          </w:tblCellMar>
        </w:tblPrEx>
        <w:trPr>
          <w:trHeight w:val="611" w:hRule="atLeast"/>
          <w:jc w:val="center"/>
        </w:trPr>
        <w:tc>
          <w:tcPr>
            <w:tcW w:w="739" w:type="dxa"/>
            <w:tcBorders>
              <w:top w:val="single" w:color="auto" w:sz="4" w:space="0"/>
              <w:left w:val="single" w:color="auto" w:sz="4" w:space="0"/>
              <w:bottom w:val="single" w:color="auto" w:sz="4" w:space="0"/>
              <w:right w:val="single" w:color="auto" w:sz="4" w:space="0"/>
            </w:tcBorders>
            <w:vAlign w:val="center"/>
          </w:tcPr>
          <w:p w14:paraId="2F7AF26A">
            <w:pPr>
              <w:widowControl/>
              <w:adjustRightInd w:val="0"/>
              <w:snapToGrid w:val="0"/>
              <w:jc w:val="center"/>
              <w:rPr>
                <w:rFonts w:ascii="Times New Roman" w:hAnsi="Times New Roman" w:eastAsia="黑体"/>
                <w:sz w:val="20"/>
              </w:rPr>
            </w:pPr>
            <w:r>
              <w:rPr>
                <w:rFonts w:ascii="Times New Roman" w:hAnsi="Times New Roman" w:eastAsia="方正黑体简体"/>
                <w:sz w:val="20"/>
              </w:rPr>
              <w:t>评价类别</w:t>
            </w:r>
          </w:p>
        </w:tc>
        <w:tc>
          <w:tcPr>
            <w:tcW w:w="713" w:type="dxa"/>
            <w:tcBorders>
              <w:top w:val="single" w:color="auto" w:sz="4" w:space="0"/>
              <w:left w:val="nil"/>
              <w:bottom w:val="single" w:color="auto" w:sz="4" w:space="0"/>
              <w:right w:val="single" w:color="auto" w:sz="4" w:space="0"/>
            </w:tcBorders>
            <w:vAlign w:val="center"/>
          </w:tcPr>
          <w:p w14:paraId="1AB29710">
            <w:pPr>
              <w:widowControl/>
              <w:adjustRightInd w:val="0"/>
              <w:snapToGrid w:val="0"/>
              <w:jc w:val="center"/>
              <w:rPr>
                <w:rFonts w:ascii="Times New Roman" w:hAnsi="Times New Roman" w:eastAsia="方正黑体简体"/>
                <w:sz w:val="20"/>
              </w:rPr>
            </w:pPr>
            <w:r>
              <w:rPr>
                <w:rFonts w:ascii="Times New Roman" w:hAnsi="Times New Roman" w:eastAsia="方正黑体简体"/>
                <w:sz w:val="20"/>
              </w:rPr>
              <w:t>评价</w:t>
            </w:r>
          </w:p>
          <w:p w14:paraId="505A1063">
            <w:pPr>
              <w:widowControl/>
              <w:adjustRightInd w:val="0"/>
              <w:snapToGrid w:val="0"/>
              <w:jc w:val="center"/>
              <w:rPr>
                <w:rFonts w:ascii="Times New Roman" w:hAnsi="Times New Roman" w:eastAsia="黑体"/>
                <w:sz w:val="20"/>
              </w:rPr>
            </w:pPr>
            <w:r>
              <w:rPr>
                <w:rFonts w:ascii="Times New Roman" w:hAnsi="Times New Roman" w:eastAsia="方正黑体简体"/>
                <w:sz w:val="20"/>
              </w:rPr>
              <w:t>项目</w:t>
            </w:r>
          </w:p>
        </w:tc>
        <w:tc>
          <w:tcPr>
            <w:tcW w:w="5488" w:type="dxa"/>
            <w:tcBorders>
              <w:top w:val="single" w:color="auto" w:sz="4" w:space="0"/>
              <w:left w:val="nil"/>
              <w:bottom w:val="single" w:color="auto" w:sz="4" w:space="0"/>
              <w:right w:val="single" w:color="auto" w:sz="4" w:space="0"/>
            </w:tcBorders>
            <w:vAlign w:val="center"/>
          </w:tcPr>
          <w:p w14:paraId="2A337C0F">
            <w:pPr>
              <w:widowControl/>
              <w:adjustRightInd w:val="0"/>
              <w:snapToGrid w:val="0"/>
              <w:jc w:val="center"/>
              <w:rPr>
                <w:rFonts w:ascii="Times New Roman" w:hAnsi="Times New Roman" w:eastAsia="黑体"/>
                <w:sz w:val="20"/>
              </w:rPr>
            </w:pPr>
            <w:r>
              <w:rPr>
                <w:rFonts w:ascii="Times New Roman" w:hAnsi="Times New Roman" w:eastAsia="方正黑体简体"/>
                <w:sz w:val="20"/>
              </w:rPr>
              <w:t>赋分标准</w:t>
            </w:r>
          </w:p>
        </w:tc>
        <w:tc>
          <w:tcPr>
            <w:tcW w:w="709" w:type="dxa"/>
            <w:tcBorders>
              <w:top w:val="single" w:color="auto" w:sz="4" w:space="0"/>
              <w:left w:val="nil"/>
              <w:bottom w:val="single" w:color="auto" w:sz="4" w:space="0"/>
              <w:right w:val="single" w:color="auto" w:sz="4" w:space="0"/>
            </w:tcBorders>
            <w:vAlign w:val="center"/>
          </w:tcPr>
          <w:p w14:paraId="142B19FA">
            <w:pPr>
              <w:widowControl/>
              <w:adjustRightInd w:val="0"/>
              <w:snapToGrid w:val="0"/>
              <w:jc w:val="center"/>
              <w:rPr>
                <w:rFonts w:ascii="Times New Roman" w:hAnsi="Times New Roman" w:eastAsia="方正黑体简体"/>
                <w:sz w:val="20"/>
              </w:rPr>
            </w:pPr>
            <w:r>
              <w:rPr>
                <w:rFonts w:ascii="Times New Roman" w:hAnsi="Times New Roman" w:eastAsia="方正黑体简体"/>
                <w:sz w:val="20"/>
              </w:rPr>
              <w:t>赋分</w:t>
            </w:r>
          </w:p>
          <w:p w14:paraId="54904D15">
            <w:pPr>
              <w:widowControl/>
              <w:adjustRightInd w:val="0"/>
              <w:snapToGrid w:val="0"/>
              <w:jc w:val="center"/>
              <w:rPr>
                <w:rFonts w:ascii="Times New Roman" w:hAnsi="Times New Roman" w:eastAsia="黑体"/>
                <w:sz w:val="20"/>
              </w:rPr>
            </w:pPr>
            <w:r>
              <w:rPr>
                <w:rFonts w:ascii="Times New Roman" w:hAnsi="Times New Roman" w:eastAsia="方正黑体简体"/>
                <w:sz w:val="20"/>
              </w:rPr>
              <w:t>总分</w:t>
            </w:r>
          </w:p>
        </w:tc>
        <w:tc>
          <w:tcPr>
            <w:tcW w:w="744" w:type="dxa"/>
            <w:tcBorders>
              <w:top w:val="single" w:color="auto" w:sz="4" w:space="0"/>
              <w:left w:val="nil"/>
              <w:bottom w:val="single" w:color="auto" w:sz="4" w:space="0"/>
              <w:right w:val="single" w:color="auto" w:sz="4" w:space="0"/>
            </w:tcBorders>
            <w:vAlign w:val="center"/>
          </w:tcPr>
          <w:p w14:paraId="3EEA007C">
            <w:pPr>
              <w:widowControl/>
              <w:adjustRightInd w:val="0"/>
              <w:snapToGrid w:val="0"/>
              <w:jc w:val="center"/>
              <w:rPr>
                <w:rFonts w:ascii="Times New Roman" w:hAnsi="Times New Roman" w:eastAsia="方正黑体简体"/>
                <w:sz w:val="20"/>
              </w:rPr>
            </w:pPr>
            <w:r>
              <w:rPr>
                <w:rFonts w:ascii="Times New Roman" w:hAnsi="Times New Roman" w:eastAsia="方正黑体简体"/>
                <w:sz w:val="20"/>
              </w:rPr>
              <w:t>自评</w:t>
            </w:r>
          </w:p>
          <w:p w14:paraId="3221776E">
            <w:pPr>
              <w:widowControl/>
              <w:adjustRightInd w:val="0"/>
              <w:snapToGrid w:val="0"/>
              <w:jc w:val="center"/>
              <w:rPr>
                <w:rFonts w:ascii="Times New Roman" w:hAnsi="Times New Roman" w:eastAsia="黑体"/>
                <w:sz w:val="20"/>
              </w:rPr>
            </w:pPr>
            <w:r>
              <w:rPr>
                <w:rFonts w:ascii="Times New Roman" w:hAnsi="Times New Roman" w:eastAsia="方正黑体简体"/>
                <w:sz w:val="20"/>
              </w:rPr>
              <w:t>得分项</w:t>
            </w:r>
          </w:p>
        </w:tc>
        <w:tc>
          <w:tcPr>
            <w:tcW w:w="643" w:type="dxa"/>
            <w:tcBorders>
              <w:top w:val="single" w:color="auto" w:sz="4" w:space="0"/>
              <w:left w:val="nil"/>
              <w:bottom w:val="single" w:color="auto" w:sz="4" w:space="0"/>
              <w:right w:val="single" w:color="auto" w:sz="4" w:space="0"/>
            </w:tcBorders>
            <w:vAlign w:val="center"/>
          </w:tcPr>
          <w:p w14:paraId="48EF7D65">
            <w:pPr>
              <w:widowControl/>
              <w:adjustRightInd w:val="0"/>
              <w:snapToGrid w:val="0"/>
              <w:jc w:val="center"/>
              <w:rPr>
                <w:rFonts w:ascii="Times New Roman" w:hAnsi="Times New Roman" w:eastAsia="方正黑体简体"/>
                <w:sz w:val="20"/>
              </w:rPr>
            </w:pPr>
            <w:r>
              <w:rPr>
                <w:rFonts w:ascii="Times New Roman" w:hAnsi="Times New Roman" w:eastAsia="方正黑体简体"/>
                <w:sz w:val="20"/>
              </w:rPr>
              <w:t>自评</w:t>
            </w:r>
          </w:p>
          <w:p w14:paraId="26AA5BA4">
            <w:pPr>
              <w:adjustRightInd w:val="0"/>
              <w:snapToGrid w:val="0"/>
              <w:jc w:val="center"/>
              <w:rPr>
                <w:rFonts w:ascii="Times New Roman" w:hAnsi="Times New Roman" w:eastAsia="黑体"/>
                <w:sz w:val="20"/>
              </w:rPr>
            </w:pPr>
            <w:r>
              <w:rPr>
                <w:rFonts w:ascii="Times New Roman" w:hAnsi="Times New Roman" w:eastAsia="方正黑体简体"/>
                <w:sz w:val="20"/>
              </w:rPr>
              <w:t>得分</w:t>
            </w:r>
          </w:p>
        </w:tc>
        <w:tc>
          <w:tcPr>
            <w:tcW w:w="686" w:type="dxa"/>
            <w:tcBorders>
              <w:top w:val="single" w:color="auto" w:sz="4" w:space="0"/>
              <w:left w:val="nil"/>
              <w:bottom w:val="single" w:color="auto" w:sz="4" w:space="0"/>
              <w:right w:val="single" w:color="auto" w:sz="4" w:space="0"/>
            </w:tcBorders>
            <w:vAlign w:val="center"/>
          </w:tcPr>
          <w:p w14:paraId="708A7525">
            <w:pPr>
              <w:adjustRightInd w:val="0"/>
              <w:snapToGrid w:val="0"/>
              <w:jc w:val="center"/>
              <w:rPr>
                <w:rFonts w:ascii="Times New Roman" w:hAnsi="Times New Roman" w:eastAsia="黑体"/>
                <w:sz w:val="20"/>
              </w:rPr>
            </w:pPr>
            <w:r>
              <w:rPr>
                <w:rFonts w:ascii="Times New Roman" w:hAnsi="Times New Roman" w:eastAsia="方正黑体简体"/>
                <w:sz w:val="20"/>
              </w:rPr>
              <w:t>引才单位认定得分</w:t>
            </w:r>
          </w:p>
        </w:tc>
      </w:tr>
      <w:tr w14:paraId="12DB2FE2">
        <w:tblPrEx>
          <w:tblCellMar>
            <w:top w:w="0" w:type="dxa"/>
            <w:left w:w="108" w:type="dxa"/>
            <w:bottom w:w="0" w:type="dxa"/>
            <w:right w:w="108" w:type="dxa"/>
          </w:tblCellMar>
        </w:tblPrEx>
        <w:trPr>
          <w:trHeight w:val="1060" w:hRule="atLeast"/>
          <w:jc w:val="center"/>
        </w:trPr>
        <w:tc>
          <w:tcPr>
            <w:tcW w:w="739" w:type="dxa"/>
            <w:vMerge w:val="restart"/>
            <w:tcBorders>
              <w:top w:val="nil"/>
              <w:left w:val="single" w:color="auto" w:sz="4" w:space="0"/>
              <w:right w:val="single" w:color="auto" w:sz="4" w:space="0"/>
            </w:tcBorders>
            <w:vAlign w:val="center"/>
          </w:tcPr>
          <w:p w14:paraId="12921C92">
            <w:pPr>
              <w:widowControl/>
              <w:spacing w:line="240" w:lineRule="exact"/>
              <w:jc w:val="center"/>
              <w:rPr>
                <w:rFonts w:ascii="Times New Roman" w:hAnsi="Times New Roman" w:eastAsia="楷体"/>
                <w:sz w:val="24"/>
                <w:szCs w:val="24"/>
              </w:rPr>
            </w:pPr>
            <w:r>
              <w:rPr>
                <w:rFonts w:ascii="Times New Roman" w:hAnsi="Times New Roman" w:eastAsia="楷体"/>
                <w:sz w:val="24"/>
                <w:szCs w:val="24"/>
              </w:rPr>
              <w:t>评价项目</w:t>
            </w:r>
          </w:p>
        </w:tc>
        <w:tc>
          <w:tcPr>
            <w:tcW w:w="713" w:type="dxa"/>
            <w:vMerge w:val="restart"/>
            <w:tcBorders>
              <w:top w:val="nil"/>
              <w:left w:val="single" w:color="auto" w:sz="4" w:space="0"/>
              <w:bottom w:val="single" w:color="000000" w:sz="4" w:space="0"/>
              <w:right w:val="single" w:color="auto" w:sz="4" w:space="0"/>
            </w:tcBorders>
            <w:vAlign w:val="center"/>
          </w:tcPr>
          <w:p w14:paraId="0A5EBDE5">
            <w:pPr>
              <w:widowControl/>
              <w:spacing w:line="240" w:lineRule="exact"/>
              <w:jc w:val="center"/>
              <w:rPr>
                <w:rFonts w:ascii="Times New Roman" w:hAnsi="Times New Roman" w:eastAsia="楷体"/>
                <w:sz w:val="24"/>
                <w:szCs w:val="24"/>
              </w:rPr>
            </w:pPr>
            <w:r>
              <w:rPr>
                <w:rFonts w:ascii="Times New Roman" w:hAnsi="Times New Roman" w:eastAsia="楷体"/>
                <w:sz w:val="24"/>
                <w:szCs w:val="24"/>
              </w:rPr>
              <w:t>专业层次</w:t>
            </w:r>
          </w:p>
        </w:tc>
        <w:tc>
          <w:tcPr>
            <w:tcW w:w="5488" w:type="dxa"/>
            <w:tcBorders>
              <w:top w:val="nil"/>
              <w:left w:val="nil"/>
              <w:bottom w:val="single" w:color="auto" w:sz="4" w:space="0"/>
              <w:right w:val="single" w:color="auto" w:sz="4" w:space="0"/>
            </w:tcBorders>
            <w:vAlign w:val="center"/>
          </w:tcPr>
          <w:p w14:paraId="6FA7BE26">
            <w:pPr>
              <w:widowControl/>
              <w:adjustRightInd w:val="0"/>
              <w:snapToGrid w:val="0"/>
              <w:rPr>
                <w:rFonts w:ascii="Times New Roman" w:hAnsi="Times New Roman"/>
                <w:spacing w:val="-4"/>
                <w:sz w:val="18"/>
                <w:szCs w:val="18"/>
              </w:rPr>
            </w:pPr>
            <w:r>
              <w:rPr>
                <w:rFonts w:ascii="Times New Roman" w:hAnsi="Times New Roman"/>
                <w:bCs/>
                <w:spacing w:val="-4"/>
                <w:sz w:val="18"/>
                <w:szCs w:val="18"/>
              </w:rPr>
              <w:t>本 科</w:t>
            </w:r>
            <w:r>
              <w:rPr>
                <w:rFonts w:ascii="Times New Roman" w:hAnsi="Times New Roman"/>
                <w:spacing w:val="-4"/>
                <w:sz w:val="18"/>
                <w:szCs w:val="18"/>
              </w:rPr>
              <w:t>：清华大学、北京大学毕业者得</w:t>
            </w:r>
            <w:r>
              <w:rPr>
                <w:rFonts w:hint="eastAsia" w:ascii="Times New Roman" w:hAnsi="Times New Roman"/>
                <w:spacing w:val="-4"/>
                <w:sz w:val="18"/>
                <w:szCs w:val="18"/>
              </w:rPr>
              <w:t>2</w:t>
            </w:r>
            <w:r>
              <w:rPr>
                <w:rFonts w:ascii="Times New Roman" w:hAnsi="Times New Roman"/>
                <w:spacing w:val="-4"/>
                <w:sz w:val="18"/>
                <w:szCs w:val="18"/>
              </w:rPr>
              <w:t>0分；其他A类34所高校且一流学科者得</w:t>
            </w:r>
            <w:r>
              <w:rPr>
                <w:rFonts w:hint="eastAsia" w:ascii="Times New Roman" w:hAnsi="Times New Roman"/>
                <w:spacing w:val="-4"/>
                <w:sz w:val="18"/>
                <w:szCs w:val="18"/>
              </w:rPr>
              <w:t>15</w:t>
            </w:r>
            <w:r>
              <w:rPr>
                <w:rFonts w:ascii="Times New Roman" w:hAnsi="Times New Roman"/>
                <w:spacing w:val="-4"/>
                <w:sz w:val="18"/>
                <w:szCs w:val="18"/>
              </w:rPr>
              <w:t>分；B类6所高校且一流学科者得</w:t>
            </w:r>
            <w:r>
              <w:rPr>
                <w:rFonts w:hint="eastAsia" w:ascii="Times New Roman" w:hAnsi="Times New Roman"/>
                <w:spacing w:val="-4"/>
                <w:sz w:val="18"/>
                <w:szCs w:val="18"/>
              </w:rPr>
              <w:t>13</w:t>
            </w:r>
            <w:r>
              <w:rPr>
                <w:rFonts w:ascii="Times New Roman" w:hAnsi="Times New Roman"/>
                <w:spacing w:val="-4"/>
                <w:sz w:val="18"/>
                <w:szCs w:val="18"/>
              </w:rPr>
              <w:t>分；其他A类34所高校且非一流学科者得</w:t>
            </w:r>
            <w:r>
              <w:rPr>
                <w:rFonts w:hint="eastAsia" w:ascii="Times New Roman" w:hAnsi="Times New Roman"/>
                <w:spacing w:val="-4"/>
                <w:sz w:val="18"/>
                <w:szCs w:val="18"/>
              </w:rPr>
              <w:t>10</w:t>
            </w:r>
            <w:r>
              <w:rPr>
                <w:rFonts w:ascii="Times New Roman" w:hAnsi="Times New Roman"/>
                <w:spacing w:val="-4"/>
                <w:sz w:val="18"/>
                <w:szCs w:val="18"/>
              </w:rPr>
              <w:t>分；非A类、B类高校且一流学科者得</w:t>
            </w:r>
            <w:r>
              <w:rPr>
                <w:rFonts w:hint="eastAsia" w:ascii="Times New Roman" w:hAnsi="Times New Roman"/>
                <w:spacing w:val="-4"/>
                <w:sz w:val="18"/>
                <w:szCs w:val="18"/>
              </w:rPr>
              <w:t>10</w:t>
            </w:r>
            <w:r>
              <w:rPr>
                <w:rFonts w:ascii="Times New Roman" w:hAnsi="Times New Roman"/>
                <w:spacing w:val="-4"/>
                <w:sz w:val="18"/>
                <w:szCs w:val="18"/>
              </w:rPr>
              <w:t>分；B类6所高校且非一流学科者得</w:t>
            </w:r>
            <w:r>
              <w:rPr>
                <w:rFonts w:hint="eastAsia" w:ascii="Times New Roman" w:hAnsi="Times New Roman"/>
                <w:spacing w:val="-4"/>
                <w:sz w:val="18"/>
                <w:szCs w:val="18"/>
              </w:rPr>
              <w:t>8</w:t>
            </w:r>
            <w:r>
              <w:rPr>
                <w:rFonts w:ascii="Times New Roman" w:hAnsi="Times New Roman"/>
                <w:spacing w:val="-4"/>
                <w:sz w:val="18"/>
                <w:szCs w:val="18"/>
              </w:rPr>
              <w:t>分。</w:t>
            </w:r>
          </w:p>
        </w:tc>
        <w:tc>
          <w:tcPr>
            <w:tcW w:w="709" w:type="dxa"/>
            <w:tcBorders>
              <w:top w:val="nil"/>
              <w:left w:val="nil"/>
              <w:bottom w:val="single" w:color="auto" w:sz="4" w:space="0"/>
              <w:right w:val="single" w:color="auto" w:sz="4" w:space="0"/>
            </w:tcBorders>
            <w:vAlign w:val="center"/>
          </w:tcPr>
          <w:p w14:paraId="1136AE58">
            <w:pPr>
              <w:widowControl/>
              <w:jc w:val="center"/>
              <w:rPr>
                <w:rFonts w:ascii="Times New Roman" w:hAnsi="Times New Roman"/>
                <w:sz w:val="24"/>
                <w:szCs w:val="24"/>
              </w:rPr>
            </w:pPr>
            <w:r>
              <w:rPr>
                <w:rFonts w:hint="eastAsia" w:ascii="Times New Roman" w:hAnsi="Times New Roman"/>
                <w:sz w:val="24"/>
                <w:szCs w:val="24"/>
              </w:rPr>
              <w:t>2</w:t>
            </w:r>
            <w:r>
              <w:rPr>
                <w:rFonts w:ascii="Times New Roman" w:hAnsi="Times New Roman"/>
                <w:sz w:val="24"/>
                <w:szCs w:val="24"/>
              </w:rPr>
              <w:t>0</w:t>
            </w:r>
          </w:p>
        </w:tc>
        <w:tc>
          <w:tcPr>
            <w:tcW w:w="744" w:type="dxa"/>
            <w:tcBorders>
              <w:top w:val="nil"/>
              <w:left w:val="nil"/>
              <w:bottom w:val="single" w:color="auto" w:sz="4" w:space="0"/>
              <w:right w:val="single" w:color="auto" w:sz="4" w:space="0"/>
            </w:tcBorders>
            <w:vAlign w:val="center"/>
          </w:tcPr>
          <w:p w14:paraId="79CB273A">
            <w:pPr>
              <w:widowControl/>
              <w:jc w:val="center"/>
              <w:rPr>
                <w:rFonts w:ascii="Times New Roman" w:hAnsi="Times New Roman"/>
                <w:szCs w:val="21"/>
              </w:rPr>
            </w:pPr>
          </w:p>
        </w:tc>
        <w:tc>
          <w:tcPr>
            <w:tcW w:w="643" w:type="dxa"/>
            <w:tcBorders>
              <w:top w:val="nil"/>
              <w:left w:val="nil"/>
              <w:bottom w:val="single" w:color="auto" w:sz="4" w:space="0"/>
              <w:right w:val="single" w:color="auto" w:sz="4" w:space="0"/>
            </w:tcBorders>
            <w:vAlign w:val="center"/>
          </w:tcPr>
          <w:p w14:paraId="01ACE44B">
            <w:pPr>
              <w:widowControl/>
              <w:jc w:val="center"/>
              <w:rPr>
                <w:rFonts w:ascii="Times New Roman" w:hAnsi="Times New Roman"/>
                <w:szCs w:val="21"/>
              </w:rPr>
            </w:pPr>
          </w:p>
        </w:tc>
        <w:tc>
          <w:tcPr>
            <w:tcW w:w="686" w:type="dxa"/>
            <w:tcBorders>
              <w:top w:val="nil"/>
              <w:left w:val="nil"/>
              <w:bottom w:val="single" w:color="auto" w:sz="4" w:space="0"/>
              <w:right w:val="single" w:color="auto" w:sz="4" w:space="0"/>
            </w:tcBorders>
            <w:vAlign w:val="center"/>
          </w:tcPr>
          <w:p w14:paraId="60BECD69">
            <w:pPr>
              <w:widowControl/>
              <w:jc w:val="center"/>
              <w:rPr>
                <w:rFonts w:ascii="Times New Roman" w:hAnsi="Times New Roman"/>
                <w:szCs w:val="21"/>
              </w:rPr>
            </w:pPr>
          </w:p>
        </w:tc>
      </w:tr>
      <w:tr w14:paraId="1CAA0023">
        <w:tblPrEx>
          <w:tblCellMar>
            <w:top w:w="0" w:type="dxa"/>
            <w:left w:w="108" w:type="dxa"/>
            <w:bottom w:w="0" w:type="dxa"/>
            <w:right w:w="108" w:type="dxa"/>
          </w:tblCellMar>
        </w:tblPrEx>
        <w:trPr>
          <w:trHeight w:val="2203" w:hRule="atLeast"/>
          <w:jc w:val="center"/>
        </w:trPr>
        <w:tc>
          <w:tcPr>
            <w:tcW w:w="739" w:type="dxa"/>
            <w:vMerge w:val="continue"/>
            <w:tcBorders>
              <w:left w:val="single" w:color="auto" w:sz="4" w:space="0"/>
              <w:right w:val="single" w:color="auto" w:sz="4" w:space="0"/>
            </w:tcBorders>
            <w:vAlign w:val="center"/>
          </w:tcPr>
          <w:p w14:paraId="7DC8A972">
            <w:pPr>
              <w:widowControl/>
              <w:jc w:val="center"/>
              <w:rPr>
                <w:rFonts w:ascii="Times New Roman" w:hAnsi="Times New Roman" w:eastAsia="楷体"/>
                <w:sz w:val="24"/>
                <w:szCs w:val="24"/>
              </w:rPr>
            </w:pPr>
          </w:p>
        </w:tc>
        <w:tc>
          <w:tcPr>
            <w:tcW w:w="713" w:type="dxa"/>
            <w:vMerge w:val="continue"/>
            <w:tcBorders>
              <w:top w:val="nil"/>
              <w:left w:val="single" w:color="auto" w:sz="4" w:space="0"/>
              <w:bottom w:val="single" w:color="000000" w:sz="4" w:space="0"/>
              <w:right w:val="single" w:color="auto" w:sz="4" w:space="0"/>
            </w:tcBorders>
            <w:vAlign w:val="center"/>
          </w:tcPr>
          <w:p w14:paraId="16196B09">
            <w:pPr>
              <w:widowControl/>
              <w:spacing w:line="240" w:lineRule="exact"/>
              <w:jc w:val="center"/>
              <w:rPr>
                <w:rFonts w:ascii="Times New Roman" w:hAnsi="Times New Roman" w:eastAsia="楷体"/>
                <w:sz w:val="24"/>
                <w:szCs w:val="24"/>
              </w:rPr>
            </w:pPr>
          </w:p>
        </w:tc>
        <w:tc>
          <w:tcPr>
            <w:tcW w:w="5488" w:type="dxa"/>
            <w:tcBorders>
              <w:top w:val="nil"/>
              <w:left w:val="nil"/>
              <w:bottom w:val="single" w:color="auto" w:sz="4" w:space="0"/>
              <w:right w:val="single" w:color="auto" w:sz="4" w:space="0"/>
            </w:tcBorders>
            <w:vAlign w:val="center"/>
          </w:tcPr>
          <w:p w14:paraId="682BEC0B">
            <w:pPr>
              <w:widowControl/>
              <w:adjustRightInd w:val="0"/>
              <w:snapToGrid w:val="0"/>
              <w:rPr>
                <w:rFonts w:ascii="Times New Roman" w:hAnsi="Times New Roman"/>
                <w:spacing w:val="-4"/>
                <w:sz w:val="18"/>
                <w:szCs w:val="18"/>
              </w:rPr>
            </w:pPr>
            <w:r>
              <w:rPr>
                <w:rFonts w:ascii="Times New Roman" w:hAnsi="Times New Roman"/>
                <w:bCs/>
                <w:spacing w:val="-4"/>
                <w:sz w:val="18"/>
                <w:szCs w:val="18"/>
              </w:rPr>
              <w:t>研究生</w:t>
            </w:r>
            <w:r>
              <w:rPr>
                <w:rFonts w:ascii="Times New Roman" w:hAnsi="Times New Roman"/>
                <w:spacing w:val="-4"/>
                <w:sz w:val="18"/>
                <w:szCs w:val="18"/>
              </w:rPr>
              <w:t>：</w:t>
            </w:r>
          </w:p>
          <w:p w14:paraId="780B4F8A">
            <w:pPr>
              <w:widowControl/>
              <w:adjustRightInd w:val="0"/>
              <w:snapToGrid w:val="0"/>
              <w:rPr>
                <w:rFonts w:ascii="Times New Roman" w:hAnsi="Times New Roman"/>
                <w:spacing w:val="-4"/>
                <w:sz w:val="18"/>
                <w:szCs w:val="18"/>
              </w:rPr>
            </w:pPr>
            <w:r>
              <w:rPr>
                <w:rFonts w:ascii="Times New Roman" w:hAnsi="Times New Roman"/>
                <w:spacing w:val="-4"/>
                <w:sz w:val="18"/>
                <w:szCs w:val="18"/>
              </w:rPr>
              <w:t>国 内：清华大学、北京大学毕业者得</w:t>
            </w:r>
            <w:r>
              <w:rPr>
                <w:rFonts w:hint="eastAsia" w:ascii="Times New Roman" w:hAnsi="Times New Roman"/>
                <w:spacing w:val="-4"/>
                <w:sz w:val="18"/>
                <w:szCs w:val="18"/>
              </w:rPr>
              <w:t>20</w:t>
            </w:r>
            <w:r>
              <w:rPr>
                <w:rFonts w:ascii="Times New Roman" w:hAnsi="Times New Roman"/>
                <w:spacing w:val="-4"/>
                <w:sz w:val="18"/>
                <w:szCs w:val="18"/>
              </w:rPr>
              <w:t>分；其他A类34所高校且一流学科者得</w:t>
            </w:r>
            <w:r>
              <w:rPr>
                <w:rFonts w:hint="eastAsia" w:ascii="Times New Roman" w:hAnsi="Times New Roman"/>
                <w:spacing w:val="-4"/>
                <w:sz w:val="18"/>
                <w:szCs w:val="18"/>
              </w:rPr>
              <w:t>15</w:t>
            </w:r>
            <w:r>
              <w:rPr>
                <w:rFonts w:ascii="Times New Roman" w:hAnsi="Times New Roman"/>
                <w:spacing w:val="-4"/>
                <w:sz w:val="18"/>
                <w:szCs w:val="18"/>
              </w:rPr>
              <w:t>分；B类6所高校且一流学科者得</w:t>
            </w:r>
            <w:r>
              <w:rPr>
                <w:rFonts w:hint="eastAsia" w:ascii="Times New Roman" w:hAnsi="Times New Roman"/>
                <w:spacing w:val="-4"/>
                <w:sz w:val="18"/>
                <w:szCs w:val="18"/>
              </w:rPr>
              <w:t>13</w:t>
            </w:r>
            <w:r>
              <w:rPr>
                <w:rFonts w:ascii="Times New Roman" w:hAnsi="Times New Roman"/>
                <w:spacing w:val="-4"/>
                <w:sz w:val="18"/>
                <w:szCs w:val="18"/>
              </w:rPr>
              <w:t>分；其他A类34所高校且非一流学科者得</w:t>
            </w:r>
            <w:r>
              <w:rPr>
                <w:rFonts w:hint="eastAsia" w:ascii="Times New Roman" w:hAnsi="Times New Roman"/>
                <w:spacing w:val="-4"/>
                <w:sz w:val="18"/>
                <w:szCs w:val="18"/>
              </w:rPr>
              <w:t>10</w:t>
            </w:r>
            <w:r>
              <w:rPr>
                <w:rFonts w:ascii="Times New Roman" w:hAnsi="Times New Roman"/>
                <w:spacing w:val="-4"/>
                <w:sz w:val="18"/>
                <w:szCs w:val="18"/>
              </w:rPr>
              <w:t>分；非A类、B类高校且一流学科者得</w:t>
            </w:r>
            <w:r>
              <w:rPr>
                <w:rFonts w:hint="eastAsia" w:ascii="Times New Roman" w:hAnsi="Times New Roman"/>
                <w:spacing w:val="-4"/>
                <w:sz w:val="18"/>
                <w:szCs w:val="18"/>
              </w:rPr>
              <w:t>10</w:t>
            </w:r>
            <w:r>
              <w:rPr>
                <w:rFonts w:ascii="Times New Roman" w:hAnsi="Times New Roman"/>
                <w:spacing w:val="-4"/>
                <w:sz w:val="18"/>
                <w:szCs w:val="18"/>
              </w:rPr>
              <w:t>分；B类6所高校且非一流学科者得</w:t>
            </w:r>
            <w:r>
              <w:rPr>
                <w:rFonts w:hint="eastAsia" w:ascii="Times New Roman" w:hAnsi="Times New Roman"/>
                <w:spacing w:val="-4"/>
                <w:sz w:val="18"/>
                <w:szCs w:val="18"/>
              </w:rPr>
              <w:t>8</w:t>
            </w:r>
            <w:r>
              <w:rPr>
                <w:rFonts w:ascii="Times New Roman" w:hAnsi="Times New Roman"/>
                <w:spacing w:val="-4"/>
                <w:sz w:val="18"/>
                <w:szCs w:val="18"/>
              </w:rPr>
              <w:t>分。</w:t>
            </w:r>
          </w:p>
          <w:p w14:paraId="64F75066">
            <w:pPr>
              <w:widowControl/>
              <w:adjustRightInd w:val="0"/>
              <w:snapToGrid w:val="0"/>
              <w:rPr>
                <w:rFonts w:ascii="Times New Roman" w:hAnsi="Times New Roman"/>
                <w:spacing w:val="-4"/>
                <w:sz w:val="18"/>
                <w:szCs w:val="18"/>
              </w:rPr>
            </w:pPr>
            <w:r>
              <w:rPr>
                <w:rFonts w:ascii="Times New Roman" w:hAnsi="Times New Roman"/>
                <w:spacing w:val="-4"/>
                <w:sz w:val="18"/>
                <w:szCs w:val="18"/>
              </w:rPr>
              <w:t>海 外：世界综合排名高校1-10名的，得</w:t>
            </w:r>
            <w:r>
              <w:rPr>
                <w:rFonts w:hint="eastAsia" w:ascii="Times New Roman" w:hAnsi="Times New Roman"/>
                <w:spacing w:val="-4"/>
                <w:sz w:val="18"/>
                <w:szCs w:val="18"/>
              </w:rPr>
              <w:t>20</w:t>
            </w:r>
            <w:r>
              <w:rPr>
                <w:rFonts w:ascii="Times New Roman" w:hAnsi="Times New Roman"/>
                <w:spacing w:val="-4"/>
                <w:sz w:val="18"/>
                <w:szCs w:val="18"/>
              </w:rPr>
              <w:t>分；世界综合排名高校11-50名的，得</w:t>
            </w:r>
            <w:r>
              <w:rPr>
                <w:rFonts w:hint="eastAsia" w:ascii="Times New Roman" w:hAnsi="Times New Roman"/>
                <w:spacing w:val="-4"/>
                <w:sz w:val="18"/>
                <w:szCs w:val="18"/>
              </w:rPr>
              <w:t>15</w:t>
            </w:r>
            <w:r>
              <w:rPr>
                <w:rFonts w:ascii="Times New Roman" w:hAnsi="Times New Roman"/>
                <w:spacing w:val="-4"/>
                <w:sz w:val="18"/>
                <w:szCs w:val="18"/>
              </w:rPr>
              <w:t>分；世界综合排名高校51-100名的得</w:t>
            </w:r>
            <w:r>
              <w:rPr>
                <w:rFonts w:hint="eastAsia" w:ascii="Times New Roman" w:hAnsi="Times New Roman"/>
                <w:spacing w:val="-4"/>
                <w:sz w:val="18"/>
                <w:szCs w:val="18"/>
              </w:rPr>
              <w:t>13</w:t>
            </w:r>
            <w:r>
              <w:rPr>
                <w:rFonts w:ascii="Times New Roman" w:hAnsi="Times New Roman"/>
                <w:spacing w:val="-4"/>
                <w:sz w:val="18"/>
                <w:szCs w:val="18"/>
              </w:rPr>
              <w:t>分；世界综合排名高校101-200名的，得</w:t>
            </w:r>
            <w:r>
              <w:rPr>
                <w:rFonts w:hint="eastAsia" w:ascii="Times New Roman" w:hAnsi="Times New Roman"/>
                <w:spacing w:val="-4"/>
                <w:sz w:val="18"/>
                <w:szCs w:val="18"/>
              </w:rPr>
              <w:t>10</w:t>
            </w:r>
            <w:r>
              <w:rPr>
                <w:rFonts w:ascii="Times New Roman" w:hAnsi="Times New Roman"/>
                <w:spacing w:val="-4"/>
                <w:sz w:val="18"/>
                <w:szCs w:val="18"/>
              </w:rPr>
              <w:t>分；世界综合排名高校201-300名的，得</w:t>
            </w:r>
            <w:r>
              <w:rPr>
                <w:rFonts w:hint="eastAsia" w:ascii="Times New Roman" w:hAnsi="Times New Roman"/>
                <w:spacing w:val="-4"/>
                <w:sz w:val="18"/>
                <w:szCs w:val="18"/>
              </w:rPr>
              <w:t>8</w:t>
            </w:r>
            <w:r>
              <w:rPr>
                <w:rFonts w:ascii="Times New Roman" w:hAnsi="Times New Roman"/>
                <w:spacing w:val="-4"/>
                <w:sz w:val="18"/>
                <w:szCs w:val="18"/>
              </w:rPr>
              <w:t>分。</w:t>
            </w:r>
          </w:p>
        </w:tc>
        <w:tc>
          <w:tcPr>
            <w:tcW w:w="709" w:type="dxa"/>
            <w:tcBorders>
              <w:top w:val="nil"/>
              <w:left w:val="nil"/>
              <w:bottom w:val="single" w:color="auto" w:sz="4" w:space="0"/>
              <w:right w:val="single" w:color="auto" w:sz="4" w:space="0"/>
            </w:tcBorders>
            <w:vAlign w:val="center"/>
          </w:tcPr>
          <w:p w14:paraId="7ED44F37">
            <w:pPr>
              <w:widowControl/>
              <w:jc w:val="center"/>
              <w:rPr>
                <w:rFonts w:ascii="Times New Roman" w:hAnsi="Times New Roman"/>
                <w:sz w:val="24"/>
                <w:szCs w:val="24"/>
              </w:rPr>
            </w:pPr>
            <w:r>
              <w:rPr>
                <w:rFonts w:hint="eastAsia" w:ascii="Times New Roman" w:hAnsi="Times New Roman"/>
                <w:sz w:val="24"/>
                <w:szCs w:val="24"/>
              </w:rPr>
              <w:t>2</w:t>
            </w:r>
            <w:r>
              <w:rPr>
                <w:rFonts w:ascii="Times New Roman" w:hAnsi="Times New Roman"/>
                <w:sz w:val="24"/>
                <w:szCs w:val="24"/>
              </w:rPr>
              <w:t>0</w:t>
            </w:r>
          </w:p>
        </w:tc>
        <w:tc>
          <w:tcPr>
            <w:tcW w:w="744" w:type="dxa"/>
            <w:tcBorders>
              <w:top w:val="nil"/>
              <w:left w:val="nil"/>
              <w:bottom w:val="single" w:color="auto" w:sz="4" w:space="0"/>
              <w:right w:val="single" w:color="auto" w:sz="4" w:space="0"/>
            </w:tcBorders>
            <w:vAlign w:val="center"/>
          </w:tcPr>
          <w:p w14:paraId="31EFDBFB">
            <w:pPr>
              <w:widowControl/>
              <w:jc w:val="center"/>
              <w:rPr>
                <w:rFonts w:ascii="Times New Roman" w:hAnsi="Times New Roman"/>
                <w:szCs w:val="21"/>
              </w:rPr>
            </w:pPr>
          </w:p>
        </w:tc>
        <w:tc>
          <w:tcPr>
            <w:tcW w:w="643" w:type="dxa"/>
            <w:tcBorders>
              <w:top w:val="nil"/>
              <w:left w:val="nil"/>
              <w:bottom w:val="single" w:color="auto" w:sz="4" w:space="0"/>
              <w:right w:val="single" w:color="auto" w:sz="4" w:space="0"/>
            </w:tcBorders>
            <w:vAlign w:val="center"/>
          </w:tcPr>
          <w:p w14:paraId="59D6EE58">
            <w:pPr>
              <w:widowControl/>
              <w:jc w:val="center"/>
              <w:rPr>
                <w:rFonts w:ascii="Times New Roman" w:hAnsi="Times New Roman"/>
                <w:szCs w:val="21"/>
              </w:rPr>
            </w:pPr>
          </w:p>
        </w:tc>
        <w:tc>
          <w:tcPr>
            <w:tcW w:w="686" w:type="dxa"/>
            <w:tcBorders>
              <w:top w:val="nil"/>
              <w:left w:val="nil"/>
              <w:bottom w:val="single" w:color="auto" w:sz="4" w:space="0"/>
              <w:right w:val="single" w:color="auto" w:sz="4" w:space="0"/>
            </w:tcBorders>
            <w:vAlign w:val="center"/>
          </w:tcPr>
          <w:p w14:paraId="25828EB8">
            <w:pPr>
              <w:widowControl/>
              <w:jc w:val="center"/>
              <w:rPr>
                <w:rFonts w:ascii="Times New Roman" w:hAnsi="Times New Roman"/>
                <w:szCs w:val="21"/>
              </w:rPr>
            </w:pPr>
          </w:p>
        </w:tc>
      </w:tr>
      <w:tr w14:paraId="7B00AF67">
        <w:tblPrEx>
          <w:tblCellMar>
            <w:top w:w="0" w:type="dxa"/>
            <w:left w:w="108" w:type="dxa"/>
            <w:bottom w:w="0" w:type="dxa"/>
            <w:right w:w="108" w:type="dxa"/>
          </w:tblCellMar>
        </w:tblPrEx>
        <w:trPr>
          <w:trHeight w:val="1254" w:hRule="atLeast"/>
          <w:jc w:val="center"/>
        </w:trPr>
        <w:tc>
          <w:tcPr>
            <w:tcW w:w="739" w:type="dxa"/>
            <w:vMerge w:val="continue"/>
            <w:tcBorders>
              <w:left w:val="single" w:color="auto" w:sz="4" w:space="0"/>
              <w:right w:val="single" w:color="auto" w:sz="4" w:space="0"/>
            </w:tcBorders>
            <w:vAlign w:val="center"/>
          </w:tcPr>
          <w:p w14:paraId="40D409A5">
            <w:pPr>
              <w:widowControl/>
              <w:jc w:val="center"/>
              <w:rPr>
                <w:rFonts w:ascii="Times New Roman" w:hAnsi="Times New Roman" w:eastAsia="楷体"/>
                <w:sz w:val="24"/>
                <w:szCs w:val="24"/>
              </w:rPr>
            </w:pPr>
          </w:p>
        </w:tc>
        <w:tc>
          <w:tcPr>
            <w:tcW w:w="713" w:type="dxa"/>
            <w:tcBorders>
              <w:top w:val="single" w:color="auto" w:sz="4" w:space="0"/>
              <w:left w:val="nil"/>
              <w:bottom w:val="single" w:color="auto" w:sz="4" w:space="0"/>
              <w:right w:val="single" w:color="auto" w:sz="4" w:space="0"/>
            </w:tcBorders>
            <w:vAlign w:val="center"/>
          </w:tcPr>
          <w:p w14:paraId="2182CAFF">
            <w:pPr>
              <w:widowControl/>
              <w:spacing w:line="240" w:lineRule="exact"/>
              <w:jc w:val="center"/>
              <w:rPr>
                <w:rFonts w:ascii="Times New Roman" w:hAnsi="Times New Roman" w:eastAsia="楷体"/>
                <w:sz w:val="24"/>
                <w:szCs w:val="24"/>
              </w:rPr>
            </w:pPr>
            <w:r>
              <w:rPr>
                <w:rFonts w:hint="eastAsia" w:ascii="Times New Roman" w:hAnsi="Times New Roman" w:eastAsia="楷体"/>
                <w:sz w:val="24"/>
                <w:szCs w:val="24"/>
                <w:highlight w:val="none"/>
              </w:rPr>
              <w:t>执教成绩及运动成绩</w:t>
            </w:r>
          </w:p>
        </w:tc>
        <w:tc>
          <w:tcPr>
            <w:tcW w:w="5488" w:type="dxa"/>
            <w:tcBorders>
              <w:top w:val="single" w:color="auto" w:sz="4" w:space="0"/>
              <w:left w:val="nil"/>
              <w:bottom w:val="single" w:color="auto" w:sz="4" w:space="0"/>
              <w:right w:val="single" w:color="auto" w:sz="4" w:space="0"/>
            </w:tcBorders>
            <w:vAlign w:val="center"/>
          </w:tcPr>
          <w:p w14:paraId="31B25A20">
            <w:pPr>
              <w:widowControl/>
              <w:numPr>
                <w:ilvl w:val="0"/>
                <w:numId w:val="1"/>
              </w:numPr>
              <w:adjustRightInd w:val="0"/>
              <w:snapToGrid w:val="0"/>
              <w:rPr>
                <w:rFonts w:ascii="Times New Roman" w:hAnsi="Times New Roman"/>
                <w:spacing w:val="-4"/>
                <w:sz w:val="18"/>
                <w:szCs w:val="18"/>
              </w:rPr>
            </w:pPr>
            <w:r>
              <w:rPr>
                <w:rFonts w:ascii="Times New Roman" w:hAnsi="Times New Roman"/>
                <w:spacing w:val="-4"/>
                <w:sz w:val="18"/>
                <w:szCs w:val="18"/>
              </w:rPr>
              <w:t>作为主教练，培养的运动员获得奥运会、世界锦标赛、世界杯（总决赛）前八名</w:t>
            </w:r>
            <w:r>
              <w:rPr>
                <w:rFonts w:hint="eastAsia" w:ascii="Times New Roman" w:hAnsi="Times New Roman"/>
                <w:spacing w:val="-4"/>
                <w:sz w:val="18"/>
                <w:szCs w:val="18"/>
              </w:rPr>
              <w:t>得20分</w:t>
            </w:r>
            <w:r>
              <w:rPr>
                <w:rFonts w:ascii="Times New Roman" w:hAnsi="Times New Roman"/>
                <w:spacing w:val="-4"/>
                <w:sz w:val="18"/>
                <w:szCs w:val="18"/>
              </w:rPr>
              <w:t>；作为主教练，培养的运动员获得亚洲锦标赛、亚洲杯（总决赛）、亚运会、全运会前三名</w:t>
            </w:r>
            <w:r>
              <w:rPr>
                <w:rFonts w:hint="eastAsia" w:ascii="Times New Roman" w:hAnsi="Times New Roman"/>
                <w:spacing w:val="-4"/>
                <w:sz w:val="18"/>
                <w:szCs w:val="18"/>
              </w:rPr>
              <w:t>得15分</w:t>
            </w:r>
            <w:r>
              <w:rPr>
                <w:rFonts w:ascii="Times New Roman" w:hAnsi="Times New Roman"/>
                <w:spacing w:val="-4"/>
                <w:sz w:val="18"/>
                <w:szCs w:val="18"/>
              </w:rPr>
              <w:t>；作为主教练，培养的运动员获得亚洲锦标赛、亚洲杯（总决赛）、亚运会、全运会前四至八名累计3人次以上</w:t>
            </w:r>
            <w:r>
              <w:rPr>
                <w:rFonts w:hint="eastAsia" w:ascii="Times New Roman" w:hAnsi="Times New Roman"/>
                <w:spacing w:val="-4"/>
                <w:sz w:val="18"/>
                <w:szCs w:val="18"/>
              </w:rPr>
              <w:t>得13分</w:t>
            </w:r>
            <w:r>
              <w:rPr>
                <w:rFonts w:ascii="Times New Roman" w:hAnsi="Times New Roman"/>
                <w:spacing w:val="-4"/>
                <w:sz w:val="18"/>
                <w:szCs w:val="18"/>
              </w:rPr>
              <w:t>；作为主教练，培养的运动员获得国家级甲级比赛或全国锦标赛前三名</w:t>
            </w:r>
            <w:r>
              <w:rPr>
                <w:rFonts w:hint="eastAsia" w:ascii="Times New Roman" w:hAnsi="Times New Roman"/>
                <w:spacing w:val="-4"/>
                <w:sz w:val="18"/>
                <w:szCs w:val="18"/>
              </w:rPr>
              <w:t>得10分</w:t>
            </w:r>
            <w:r>
              <w:rPr>
                <w:rFonts w:ascii="Times New Roman" w:hAnsi="Times New Roman"/>
                <w:spacing w:val="-4"/>
                <w:sz w:val="18"/>
                <w:szCs w:val="18"/>
              </w:rPr>
              <w:t>；向国家队累计输送2名以上运动员，且输送的运动员获得奥运会、世界锦标赛、世界杯（总决赛）前八名，或亚洲锦标赛、亚洲杯（总决赛）、亚运会前三名</w:t>
            </w:r>
            <w:r>
              <w:rPr>
                <w:rFonts w:hint="eastAsia" w:ascii="Times New Roman" w:hAnsi="Times New Roman"/>
                <w:spacing w:val="-4"/>
                <w:sz w:val="18"/>
                <w:szCs w:val="18"/>
              </w:rPr>
              <w:t>得8分</w:t>
            </w:r>
            <w:r>
              <w:rPr>
                <w:rFonts w:ascii="Times New Roman" w:hAnsi="Times New Roman"/>
                <w:spacing w:val="-4"/>
                <w:sz w:val="18"/>
                <w:szCs w:val="18"/>
              </w:rPr>
              <w:t>。</w:t>
            </w:r>
          </w:p>
          <w:p w14:paraId="22384E06">
            <w:pPr>
              <w:widowControl/>
              <w:numPr>
                <w:ilvl w:val="0"/>
                <w:numId w:val="1"/>
              </w:numPr>
              <w:adjustRightInd w:val="0"/>
              <w:snapToGrid w:val="0"/>
              <w:rPr>
                <w:rFonts w:ascii="Times New Roman" w:hAnsi="Times New Roman"/>
                <w:spacing w:val="-4"/>
                <w:sz w:val="18"/>
                <w:szCs w:val="18"/>
              </w:rPr>
            </w:pPr>
            <w:r>
              <w:rPr>
                <w:rFonts w:ascii="Times New Roman" w:hAnsi="Times New Roman"/>
                <w:spacing w:val="-4"/>
                <w:sz w:val="18"/>
                <w:szCs w:val="18"/>
              </w:rPr>
              <w:t>通过运动成绩引进</w:t>
            </w:r>
            <w:r>
              <w:rPr>
                <w:rFonts w:hint="eastAsia" w:ascii="Times New Roman" w:hAnsi="Times New Roman"/>
                <w:spacing w:val="-4"/>
                <w:sz w:val="18"/>
                <w:szCs w:val="18"/>
              </w:rPr>
              <w:t>的</w:t>
            </w:r>
            <w:r>
              <w:rPr>
                <w:rFonts w:ascii="Times New Roman" w:hAnsi="Times New Roman"/>
                <w:spacing w:val="-4"/>
                <w:sz w:val="18"/>
                <w:szCs w:val="18"/>
              </w:rPr>
              <w:t>教练员，在奥运会、世界锦标赛、世界杯（总决赛）等国际重大赛事中获得前八名成绩</w:t>
            </w:r>
            <w:r>
              <w:rPr>
                <w:rFonts w:hint="eastAsia" w:ascii="Times New Roman" w:hAnsi="Times New Roman"/>
                <w:spacing w:val="-4"/>
                <w:sz w:val="18"/>
                <w:szCs w:val="18"/>
              </w:rPr>
              <w:t>得20分</w:t>
            </w:r>
            <w:r>
              <w:rPr>
                <w:rFonts w:ascii="Times New Roman" w:hAnsi="Times New Roman"/>
                <w:spacing w:val="-4"/>
                <w:sz w:val="18"/>
                <w:szCs w:val="18"/>
              </w:rPr>
              <w:t>；在亚运会、亚洲锦标赛、亚洲杯、全运会、全国锦标赛、全国冠军赛等赛事中获得前三名成绩</w:t>
            </w:r>
            <w:r>
              <w:rPr>
                <w:rFonts w:hint="eastAsia" w:ascii="Times New Roman" w:hAnsi="Times New Roman"/>
                <w:spacing w:val="-4"/>
                <w:sz w:val="18"/>
                <w:szCs w:val="18"/>
              </w:rPr>
              <w:t>得18分</w:t>
            </w:r>
            <w:r>
              <w:rPr>
                <w:rFonts w:ascii="Times New Roman" w:hAnsi="Times New Roman"/>
                <w:spacing w:val="-4"/>
                <w:sz w:val="18"/>
                <w:szCs w:val="18"/>
              </w:rPr>
              <w:t>；在省级以上人民政府主办的竞技类赛事个人项目（甲组）或竞技类赛事集体项目（甲组）中获得第一名成绩</w:t>
            </w:r>
            <w:r>
              <w:rPr>
                <w:rFonts w:hint="eastAsia" w:ascii="Times New Roman" w:hAnsi="Times New Roman"/>
                <w:spacing w:val="-4"/>
                <w:sz w:val="18"/>
                <w:szCs w:val="18"/>
              </w:rPr>
              <w:t>得15分；</w:t>
            </w:r>
            <w:r>
              <w:rPr>
                <w:rFonts w:ascii="Times New Roman" w:hAnsi="Times New Roman"/>
                <w:spacing w:val="-4"/>
                <w:sz w:val="18"/>
                <w:szCs w:val="18"/>
              </w:rPr>
              <w:t>在中国男子篮球职业联赛（CBA）或中国女子篮球联赛（WCBA）一线队服役满一年的队员</w:t>
            </w:r>
            <w:r>
              <w:rPr>
                <w:rFonts w:hint="eastAsia" w:ascii="Times New Roman" w:hAnsi="Times New Roman"/>
                <w:spacing w:val="-4"/>
                <w:sz w:val="18"/>
                <w:szCs w:val="18"/>
              </w:rPr>
              <w:t>得20分</w:t>
            </w:r>
            <w:r>
              <w:rPr>
                <w:rFonts w:ascii="Times New Roman" w:hAnsi="Times New Roman"/>
                <w:spacing w:val="-4"/>
                <w:sz w:val="18"/>
                <w:szCs w:val="18"/>
              </w:rPr>
              <w:t>；在中国排球超级联赛（男、女）一线队服役满一年的队员</w:t>
            </w:r>
            <w:r>
              <w:rPr>
                <w:rFonts w:hint="eastAsia" w:ascii="Times New Roman" w:hAnsi="Times New Roman"/>
                <w:spacing w:val="-4"/>
                <w:sz w:val="18"/>
                <w:szCs w:val="18"/>
              </w:rPr>
              <w:t>得20分</w:t>
            </w:r>
            <w:r>
              <w:rPr>
                <w:rFonts w:ascii="Times New Roman" w:hAnsi="Times New Roman"/>
                <w:spacing w:val="-4"/>
                <w:sz w:val="18"/>
                <w:szCs w:val="18"/>
              </w:rPr>
              <w:t>；在中国足球协会超级联赛（中超）或中国足球协会女子足球超级联赛（女超联赛）一线队服役满一年的队员</w:t>
            </w:r>
            <w:r>
              <w:rPr>
                <w:rFonts w:hint="eastAsia" w:ascii="Times New Roman" w:hAnsi="Times New Roman"/>
                <w:spacing w:val="-4"/>
                <w:sz w:val="18"/>
                <w:szCs w:val="18"/>
              </w:rPr>
              <w:t>得20分</w:t>
            </w:r>
            <w:r>
              <w:rPr>
                <w:rFonts w:ascii="Times New Roman" w:hAnsi="Times New Roman"/>
                <w:spacing w:val="-4"/>
                <w:sz w:val="18"/>
                <w:szCs w:val="18"/>
              </w:rPr>
              <w:t>；在中国足球协会甲级联赛（中甲）一线队服役满一年且所在球队获得当赛季中甲联赛前三名的队员</w:t>
            </w:r>
            <w:r>
              <w:rPr>
                <w:rFonts w:hint="eastAsia" w:ascii="Times New Roman" w:hAnsi="Times New Roman"/>
                <w:spacing w:val="-4"/>
                <w:sz w:val="18"/>
                <w:szCs w:val="18"/>
              </w:rPr>
              <w:t>得15分</w:t>
            </w:r>
            <w:r>
              <w:rPr>
                <w:rFonts w:ascii="Times New Roman" w:hAnsi="Times New Roman"/>
                <w:spacing w:val="-4"/>
                <w:sz w:val="18"/>
                <w:szCs w:val="18"/>
              </w:rPr>
              <w:t>；在中国足球协会乙级联赛（中乙）一线队服役满一年且所在球队获得当赛季中乙联赛第一名的队员</w:t>
            </w:r>
            <w:r>
              <w:rPr>
                <w:rFonts w:hint="eastAsia" w:ascii="Times New Roman" w:hAnsi="Times New Roman"/>
                <w:spacing w:val="-4"/>
                <w:sz w:val="18"/>
                <w:szCs w:val="18"/>
              </w:rPr>
              <w:t>得13分</w:t>
            </w:r>
            <w:r>
              <w:rPr>
                <w:rFonts w:ascii="Times New Roman" w:hAnsi="Times New Roman"/>
                <w:spacing w:val="-4"/>
                <w:sz w:val="18"/>
                <w:szCs w:val="18"/>
              </w:rPr>
              <w:t>；在以上赛事中荣获个人赛季最佳奖项的球员</w:t>
            </w:r>
            <w:r>
              <w:rPr>
                <w:rFonts w:hint="eastAsia" w:ascii="Times New Roman" w:hAnsi="Times New Roman"/>
                <w:spacing w:val="-4"/>
                <w:sz w:val="18"/>
                <w:szCs w:val="18"/>
              </w:rPr>
              <w:t>得15分</w:t>
            </w:r>
            <w:r>
              <w:rPr>
                <w:rFonts w:ascii="Times New Roman" w:hAnsi="Times New Roman"/>
                <w:spacing w:val="-4"/>
                <w:sz w:val="18"/>
                <w:szCs w:val="18"/>
              </w:rPr>
              <w:t>。</w:t>
            </w:r>
          </w:p>
          <w:p w14:paraId="65161232">
            <w:pPr>
              <w:widowControl/>
              <w:adjustRightInd w:val="0"/>
              <w:snapToGrid w:val="0"/>
              <w:rPr>
                <w:rFonts w:ascii="Times New Roman" w:hAnsi="Times New Roman"/>
                <w:spacing w:val="-4"/>
                <w:sz w:val="18"/>
                <w:szCs w:val="18"/>
              </w:rPr>
            </w:pPr>
            <w:r>
              <w:rPr>
                <w:rFonts w:hint="eastAsia" w:ascii="Times New Roman" w:hAnsi="Times New Roman"/>
                <w:spacing w:val="-4"/>
                <w:sz w:val="18"/>
                <w:szCs w:val="18"/>
              </w:rPr>
              <w:t>以上累计加分超过40分，按40分计算。</w:t>
            </w:r>
          </w:p>
        </w:tc>
        <w:tc>
          <w:tcPr>
            <w:tcW w:w="709" w:type="dxa"/>
            <w:tcBorders>
              <w:top w:val="single" w:color="auto" w:sz="4" w:space="0"/>
              <w:left w:val="nil"/>
              <w:bottom w:val="single" w:color="auto" w:sz="4" w:space="0"/>
              <w:right w:val="single" w:color="auto" w:sz="4" w:space="0"/>
            </w:tcBorders>
            <w:vAlign w:val="center"/>
          </w:tcPr>
          <w:p w14:paraId="1AC4F616">
            <w:pPr>
              <w:widowControl/>
              <w:jc w:val="center"/>
              <w:rPr>
                <w:rFonts w:ascii="Times New Roman" w:hAnsi="Times New Roman"/>
                <w:sz w:val="24"/>
                <w:szCs w:val="24"/>
              </w:rPr>
            </w:pPr>
            <w:r>
              <w:rPr>
                <w:rFonts w:hint="eastAsia" w:ascii="Times New Roman" w:hAnsi="Times New Roman"/>
                <w:sz w:val="24"/>
                <w:szCs w:val="24"/>
              </w:rPr>
              <w:t>40</w:t>
            </w:r>
          </w:p>
        </w:tc>
        <w:tc>
          <w:tcPr>
            <w:tcW w:w="744" w:type="dxa"/>
            <w:tcBorders>
              <w:top w:val="single" w:color="auto" w:sz="4" w:space="0"/>
              <w:left w:val="nil"/>
              <w:bottom w:val="single" w:color="auto" w:sz="4" w:space="0"/>
              <w:right w:val="single" w:color="auto" w:sz="4" w:space="0"/>
            </w:tcBorders>
            <w:vAlign w:val="center"/>
          </w:tcPr>
          <w:p w14:paraId="11216F61">
            <w:pPr>
              <w:widowControl/>
              <w:jc w:val="center"/>
              <w:rPr>
                <w:rFonts w:ascii="Times New Roman" w:hAnsi="Times New Roman"/>
                <w:szCs w:val="21"/>
              </w:rPr>
            </w:pPr>
          </w:p>
        </w:tc>
        <w:tc>
          <w:tcPr>
            <w:tcW w:w="643" w:type="dxa"/>
            <w:tcBorders>
              <w:top w:val="single" w:color="auto" w:sz="4" w:space="0"/>
              <w:left w:val="nil"/>
              <w:bottom w:val="single" w:color="auto" w:sz="4" w:space="0"/>
              <w:right w:val="single" w:color="auto" w:sz="4" w:space="0"/>
            </w:tcBorders>
            <w:vAlign w:val="center"/>
          </w:tcPr>
          <w:p w14:paraId="4ABA975B">
            <w:pPr>
              <w:widowControl/>
              <w:jc w:val="center"/>
              <w:rPr>
                <w:rFonts w:ascii="Times New Roman" w:hAnsi="Times New Roman"/>
                <w:szCs w:val="21"/>
              </w:rPr>
            </w:pPr>
          </w:p>
        </w:tc>
        <w:tc>
          <w:tcPr>
            <w:tcW w:w="686" w:type="dxa"/>
            <w:tcBorders>
              <w:top w:val="single" w:color="auto" w:sz="4" w:space="0"/>
              <w:left w:val="nil"/>
              <w:bottom w:val="single" w:color="auto" w:sz="4" w:space="0"/>
              <w:right w:val="single" w:color="auto" w:sz="4" w:space="0"/>
            </w:tcBorders>
            <w:vAlign w:val="center"/>
          </w:tcPr>
          <w:p w14:paraId="734D63F5">
            <w:pPr>
              <w:widowControl/>
              <w:jc w:val="center"/>
              <w:rPr>
                <w:rFonts w:ascii="Times New Roman" w:hAnsi="Times New Roman"/>
                <w:szCs w:val="21"/>
              </w:rPr>
            </w:pPr>
          </w:p>
        </w:tc>
      </w:tr>
      <w:tr w14:paraId="272125E1">
        <w:tblPrEx>
          <w:tblCellMar>
            <w:top w:w="0" w:type="dxa"/>
            <w:left w:w="108" w:type="dxa"/>
            <w:bottom w:w="0" w:type="dxa"/>
            <w:right w:w="108" w:type="dxa"/>
          </w:tblCellMar>
        </w:tblPrEx>
        <w:trPr>
          <w:trHeight w:val="823" w:hRule="atLeast"/>
          <w:jc w:val="center"/>
        </w:trPr>
        <w:tc>
          <w:tcPr>
            <w:tcW w:w="739" w:type="dxa"/>
            <w:vMerge w:val="continue"/>
            <w:tcBorders>
              <w:left w:val="single" w:color="auto" w:sz="4" w:space="0"/>
              <w:right w:val="single" w:color="auto" w:sz="4" w:space="0"/>
            </w:tcBorders>
            <w:vAlign w:val="center"/>
          </w:tcPr>
          <w:p w14:paraId="6455F6EE">
            <w:pPr>
              <w:widowControl/>
              <w:jc w:val="center"/>
              <w:rPr>
                <w:rFonts w:ascii="Times New Roman" w:hAnsi="Times New Roman" w:eastAsia="楷体"/>
                <w:sz w:val="24"/>
                <w:szCs w:val="24"/>
              </w:rPr>
            </w:pPr>
          </w:p>
        </w:tc>
        <w:tc>
          <w:tcPr>
            <w:tcW w:w="713" w:type="dxa"/>
            <w:tcBorders>
              <w:top w:val="nil"/>
              <w:left w:val="nil"/>
              <w:bottom w:val="single" w:color="auto" w:sz="4" w:space="0"/>
              <w:right w:val="single" w:color="auto" w:sz="4" w:space="0"/>
            </w:tcBorders>
            <w:vAlign w:val="center"/>
          </w:tcPr>
          <w:p w14:paraId="50EEF3AF">
            <w:pPr>
              <w:widowControl/>
              <w:spacing w:line="240" w:lineRule="exact"/>
              <w:jc w:val="center"/>
              <w:rPr>
                <w:rFonts w:ascii="Times New Roman" w:hAnsi="Times New Roman" w:eastAsia="楷体"/>
                <w:sz w:val="24"/>
                <w:szCs w:val="24"/>
              </w:rPr>
            </w:pPr>
            <w:r>
              <w:rPr>
                <w:rFonts w:ascii="Times New Roman" w:hAnsi="Times New Roman" w:eastAsia="楷体"/>
                <w:sz w:val="24"/>
                <w:szCs w:val="24"/>
              </w:rPr>
              <w:t>职业资格</w:t>
            </w:r>
          </w:p>
        </w:tc>
        <w:tc>
          <w:tcPr>
            <w:tcW w:w="5488" w:type="dxa"/>
            <w:tcBorders>
              <w:top w:val="nil"/>
              <w:left w:val="nil"/>
              <w:bottom w:val="single" w:color="auto" w:sz="4" w:space="0"/>
              <w:right w:val="single" w:color="auto" w:sz="4" w:space="0"/>
            </w:tcBorders>
            <w:vAlign w:val="center"/>
          </w:tcPr>
          <w:p w14:paraId="7A0757A3">
            <w:pPr>
              <w:widowControl/>
              <w:adjustRightInd w:val="0"/>
              <w:snapToGrid w:val="0"/>
              <w:rPr>
                <w:rFonts w:ascii="Times New Roman" w:hAnsi="Times New Roman"/>
                <w:spacing w:val="-4"/>
                <w:sz w:val="18"/>
                <w:szCs w:val="18"/>
              </w:rPr>
            </w:pPr>
            <w:r>
              <w:rPr>
                <w:rFonts w:hint="eastAsia" w:ascii="Times New Roman" w:hAnsi="Times New Roman"/>
                <w:sz w:val="18"/>
                <w:szCs w:val="18"/>
              </w:rPr>
              <w:t>取得正高级教练员资格得10分；取得副高级教练员资格得8分；取得中级教练员资格得5分</w:t>
            </w:r>
            <w:r>
              <w:rPr>
                <w:rFonts w:ascii="Times New Roman" w:hAnsi="Times New Roman"/>
                <w:sz w:val="18"/>
                <w:szCs w:val="18"/>
              </w:rPr>
              <w:t>，</w:t>
            </w:r>
            <w:r>
              <w:rPr>
                <w:rFonts w:hint="eastAsia" w:ascii="Times New Roman" w:hAnsi="Times New Roman"/>
                <w:sz w:val="18"/>
                <w:szCs w:val="18"/>
              </w:rPr>
              <w:t>按所取得的最高级别资格计算，不累计计算</w:t>
            </w:r>
            <w:r>
              <w:rPr>
                <w:rFonts w:ascii="Times New Roman" w:hAnsi="Times New Roman"/>
                <w:spacing w:val="-4"/>
                <w:sz w:val="18"/>
                <w:szCs w:val="18"/>
              </w:rPr>
              <w:t>。</w:t>
            </w:r>
          </w:p>
        </w:tc>
        <w:tc>
          <w:tcPr>
            <w:tcW w:w="709" w:type="dxa"/>
            <w:tcBorders>
              <w:top w:val="nil"/>
              <w:left w:val="nil"/>
              <w:bottom w:val="single" w:color="auto" w:sz="4" w:space="0"/>
              <w:right w:val="single" w:color="auto" w:sz="4" w:space="0"/>
            </w:tcBorders>
            <w:vAlign w:val="center"/>
          </w:tcPr>
          <w:p w14:paraId="06BA0AF8">
            <w:pPr>
              <w:widowControl/>
              <w:jc w:val="center"/>
              <w:rPr>
                <w:rFonts w:ascii="Times New Roman" w:hAnsi="Times New Roman"/>
                <w:sz w:val="24"/>
                <w:szCs w:val="24"/>
              </w:rPr>
            </w:pPr>
            <w:r>
              <w:rPr>
                <w:rFonts w:hint="eastAsia" w:ascii="Times New Roman" w:hAnsi="Times New Roman"/>
                <w:sz w:val="24"/>
                <w:szCs w:val="24"/>
              </w:rPr>
              <w:t>1</w:t>
            </w:r>
            <w:r>
              <w:rPr>
                <w:rFonts w:ascii="Times New Roman" w:hAnsi="Times New Roman"/>
                <w:sz w:val="24"/>
                <w:szCs w:val="24"/>
              </w:rPr>
              <w:t>0</w:t>
            </w:r>
          </w:p>
        </w:tc>
        <w:tc>
          <w:tcPr>
            <w:tcW w:w="744" w:type="dxa"/>
            <w:tcBorders>
              <w:top w:val="nil"/>
              <w:left w:val="nil"/>
              <w:bottom w:val="single" w:color="auto" w:sz="4" w:space="0"/>
              <w:right w:val="single" w:color="auto" w:sz="4" w:space="0"/>
            </w:tcBorders>
            <w:vAlign w:val="center"/>
          </w:tcPr>
          <w:p w14:paraId="2A437E39">
            <w:pPr>
              <w:widowControl/>
              <w:jc w:val="center"/>
              <w:rPr>
                <w:rFonts w:ascii="Times New Roman" w:hAnsi="Times New Roman"/>
                <w:szCs w:val="21"/>
              </w:rPr>
            </w:pPr>
          </w:p>
        </w:tc>
        <w:tc>
          <w:tcPr>
            <w:tcW w:w="643" w:type="dxa"/>
            <w:tcBorders>
              <w:top w:val="nil"/>
              <w:left w:val="nil"/>
              <w:bottom w:val="single" w:color="auto" w:sz="4" w:space="0"/>
              <w:right w:val="single" w:color="auto" w:sz="4" w:space="0"/>
            </w:tcBorders>
            <w:vAlign w:val="center"/>
          </w:tcPr>
          <w:p w14:paraId="7A4E1809">
            <w:pPr>
              <w:widowControl/>
              <w:jc w:val="center"/>
              <w:rPr>
                <w:rFonts w:ascii="Times New Roman" w:hAnsi="Times New Roman"/>
                <w:szCs w:val="21"/>
              </w:rPr>
            </w:pPr>
          </w:p>
        </w:tc>
        <w:tc>
          <w:tcPr>
            <w:tcW w:w="686" w:type="dxa"/>
            <w:tcBorders>
              <w:top w:val="nil"/>
              <w:left w:val="nil"/>
              <w:bottom w:val="single" w:color="auto" w:sz="4" w:space="0"/>
              <w:right w:val="single" w:color="auto" w:sz="4" w:space="0"/>
            </w:tcBorders>
            <w:vAlign w:val="center"/>
          </w:tcPr>
          <w:p w14:paraId="20FD0E7A">
            <w:pPr>
              <w:widowControl/>
              <w:jc w:val="center"/>
              <w:rPr>
                <w:rFonts w:ascii="Times New Roman" w:hAnsi="Times New Roman"/>
                <w:szCs w:val="21"/>
              </w:rPr>
            </w:pPr>
          </w:p>
        </w:tc>
      </w:tr>
      <w:tr w14:paraId="5607A78A">
        <w:tblPrEx>
          <w:tblCellMar>
            <w:top w:w="0" w:type="dxa"/>
            <w:left w:w="108" w:type="dxa"/>
            <w:bottom w:w="0" w:type="dxa"/>
            <w:right w:w="108" w:type="dxa"/>
          </w:tblCellMar>
        </w:tblPrEx>
        <w:trPr>
          <w:trHeight w:val="808" w:hRule="atLeast"/>
          <w:jc w:val="center"/>
        </w:trPr>
        <w:tc>
          <w:tcPr>
            <w:tcW w:w="739" w:type="dxa"/>
            <w:vMerge w:val="continue"/>
            <w:tcBorders>
              <w:left w:val="single" w:color="auto" w:sz="4" w:space="0"/>
              <w:bottom w:val="single" w:color="auto" w:sz="4" w:space="0"/>
              <w:right w:val="single" w:color="auto" w:sz="4" w:space="0"/>
            </w:tcBorders>
            <w:vAlign w:val="center"/>
          </w:tcPr>
          <w:p w14:paraId="3DB6EE1F">
            <w:pPr>
              <w:widowControl/>
              <w:jc w:val="center"/>
              <w:rPr>
                <w:rFonts w:ascii="Times New Roman" w:hAnsi="Times New Roman" w:eastAsia="楷体"/>
                <w:sz w:val="24"/>
                <w:szCs w:val="24"/>
              </w:rPr>
            </w:pPr>
          </w:p>
        </w:tc>
        <w:tc>
          <w:tcPr>
            <w:tcW w:w="713" w:type="dxa"/>
            <w:tcBorders>
              <w:top w:val="single" w:color="auto" w:sz="4" w:space="0"/>
              <w:left w:val="single" w:color="auto" w:sz="4" w:space="0"/>
              <w:bottom w:val="single" w:color="auto" w:sz="4" w:space="0"/>
              <w:right w:val="single" w:color="auto" w:sz="4" w:space="0"/>
            </w:tcBorders>
            <w:vAlign w:val="center"/>
          </w:tcPr>
          <w:p w14:paraId="2DD9FCBF">
            <w:pPr>
              <w:widowControl/>
              <w:spacing w:line="240" w:lineRule="exact"/>
              <w:jc w:val="center"/>
              <w:rPr>
                <w:rFonts w:ascii="Times New Roman" w:hAnsi="Times New Roman" w:eastAsia="楷体"/>
                <w:sz w:val="24"/>
                <w:szCs w:val="24"/>
              </w:rPr>
            </w:pPr>
            <w:r>
              <w:rPr>
                <w:rFonts w:hint="eastAsia" w:ascii="Times New Roman" w:hAnsi="Times New Roman" w:eastAsia="楷体"/>
                <w:sz w:val="24"/>
                <w:szCs w:val="24"/>
              </w:rPr>
              <w:t>体育竞技技术水平</w:t>
            </w:r>
          </w:p>
        </w:tc>
        <w:tc>
          <w:tcPr>
            <w:tcW w:w="5488" w:type="dxa"/>
            <w:tcBorders>
              <w:top w:val="single" w:color="auto" w:sz="4" w:space="0"/>
              <w:left w:val="single" w:color="auto" w:sz="4" w:space="0"/>
              <w:bottom w:val="single" w:color="auto" w:sz="4" w:space="0"/>
              <w:right w:val="single" w:color="auto" w:sz="4" w:space="0"/>
            </w:tcBorders>
            <w:vAlign w:val="center"/>
          </w:tcPr>
          <w:p w14:paraId="1EC1EAEE">
            <w:pPr>
              <w:widowControl/>
              <w:tabs>
                <w:tab w:val="right" w:pos="4869"/>
              </w:tabs>
              <w:adjustRightInd w:val="0"/>
              <w:snapToGrid w:val="0"/>
              <w:jc w:val="left"/>
              <w:rPr>
                <w:rFonts w:ascii="Times New Roman" w:hAnsi="Times New Roman"/>
                <w:sz w:val="18"/>
                <w:szCs w:val="18"/>
              </w:rPr>
            </w:pPr>
            <w:r>
              <w:rPr>
                <w:rFonts w:hint="eastAsia" w:ascii="Times New Roman" w:hAnsi="Times New Roman"/>
                <w:sz w:val="18"/>
                <w:szCs w:val="18"/>
              </w:rPr>
              <w:t>国际级运动健将得10分；运动健将得5</w:t>
            </w:r>
            <w:r>
              <w:rPr>
                <w:rFonts w:ascii="Times New Roman" w:hAnsi="Times New Roman"/>
                <w:sz w:val="18"/>
                <w:szCs w:val="18"/>
              </w:rPr>
              <w:t>分</w:t>
            </w:r>
            <w:r>
              <w:rPr>
                <w:rFonts w:hint="eastAsia" w:ascii="Times New Roman" w:hAnsi="Times New Roman"/>
                <w:sz w:val="18"/>
                <w:szCs w:val="18"/>
              </w:rPr>
              <w:t>；一级运动员</w:t>
            </w:r>
            <w:r>
              <w:rPr>
                <w:rFonts w:ascii="Times New Roman" w:hAnsi="Times New Roman"/>
                <w:sz w:val="18"/>
                <w:szCs w:val="18"/>
              </w:rPr>
              <w:t>得</w:t>
            </w:r>
            <w:r>
              <w:rPr>
                <w:rFonts w:hint="eastAsia" w:ascii="Times New Roman" w:hAnsi="Times New Roman"/>
                <w:sz w:val="18"/>
                <w:szCs w:val="18"/>
              </w:rPr>
              <w:t>2</w:t>
            </w:r>
            <w:r>
              <w:rPr>
                <w:rFonts w:ascii="Times New Roman" w:hAnsi="Times New Roman"/>
                <w:sz w:val="18"/>
                <w:szCs w:val="18"/>
              </w:rPr>
              <w:t>分。按所取得最</w:t>
            </w:r>
            <w:r>
              <w:rPr>
                <w:rFonts w:hint="eastAsia" w:ascii="Times New Roman" w:hAnsi="Times New Roman"/>
                <w:sz w:val="18"/>
                <w:szCs w:val="18"/>
              </w:rPr>
              <w:t>级别证书</w:t>
            </w:r>
            <w:r>
              <w:rPr>
                <w:rFonts w:ascii="Times New Roman" w:hAnsi="Times New Roman"/>
                <w:sz w:val="18"/>
                <w:szCs w:val="18"/>
              </w:rPr>
              <w:t>计算，不累加计算。</w:t>
            </w:r>
          </w:p>
        </w:tc>
        <w:tc>
          <w:tcPr>
            <w:tcW w:w="709" w:type="dxa"/>
            <w:tcBorders>
              <w:top w:val="single" w:color="auto" w:sz="4" w:space="0"/>
              <w:left w:val="single" w:color="auto" w:sz="4" w:space="0"/>
              <w:bottom w:val="single" w:color="auto" w:sz="4" w:space="0"/>
              <w:right w:val="single" w:color="auto" w:sz="4" w:space="0"/>
            </w:tcBorders>
            <w:vAlign w:val="center"/>
          </w:tcPr>
          <w:p w14:paraId="105E6124">
            <w:pPr>
              <w:widowControl/>
              <w:jc w:val="center"/>
              <w:rPr>
                <w:rFonts w:ascii="Times New Roman" w:hAnsi="Times New Roman"/>
                <w:sz w:val="24"/>
                <w:szCs w:val="24"/>
              </w:rPr>
            </w:pPr>
            <w:r>
              <w:rPr>
                <w:rFonts w:hint="eastAsia" w:ascii="Times New Roman" w:hAnsi="Times New Roman"/>
                <w:sz w:val="24"/>
                <w:szCs w:val="24"/>
              </w:rPr>
              <w:t>10</w:t>
            </w:r>
          </w:p>
        </w:tc>
        <w:tc>
          <w:tcPr>
            <w:tcW w:w="744" w:type="dxa"/>
            <w:tcBorders>
              <w:top w:val="single" w:color="auto" w:sz="4" w:space="0"/>
              <w:left w:val="single" w:color="auto" w:sz="4" w:space="0"/>
              <w:bottom w:val="single" w:color="auto" w:sz="4" w:space="0"/>
              <w:right w:val="single" w:color="auto" w:sz="4" w:space="0"/>
            </w:tcBorders>
            <w:vAlign w:val="center"/>
          </w:tcPr>
          <w:p w14:paraId="0FC149CB">
            <w:pPr>
              <w:widowControl/>
              <w:jc w:val="center"/>
              <w:rPr>
                <w:rFonts w:ascii="Times New Roman" w:hAnsi="Times New Roman"/>
                <w:szCs w:val="21"/>
              </w:rPr>
            </w:pPr>
          </w:p>
        </w:tc>
        <w:tc>
          <w:tcPr>
            <w:tcW w:w="643" w:type="dxa"/>
            <w:tcBorders>
              <w:top w:val="single" w:color="auto" w:sz="4" w:space="0"/>
              <w:left w:val="single" w:color="auto" w:sz="4" w:space="0"/>
              <w:bottom w:val="single" w:color="auto" w:sz="4" w:space="0"/>
              <w:right w:val="single" w:color="auto" w:sz="4" w:space="0"/>
            </w:tcBorders>
            <w:vAlign w:val="center"/>
          </w:tcPr>
          <w:p w14:paraId="0538AE91">
            <w:pPr>
              <w:widowControl/>
              <w:jc w:val="center"/>
              <w:rPr>
                <w:rFonts w:ascii="Times New Roman" w:hAnsi="Times New Roman"/>
                <w:szCs w:val="21"/>
              </w:rPr>
            </w:pPr>
          </w:p>
        </w:tc>
        <w:tc>
          <w:tcPr>
            <w:tcW w:w="686" w:type="dxa"/>
            <w:tcBorders>
              <w:top w:val="single" w:color="auto" w:sz="4" w:space="0"/>
              <w:left w:val="single" w:color="auto" w:sz="4" w:space="0"/>
              <w:bottom w:val="single" w:color="auto" w:sz="4" w:space="0"/>
              <w:right w:val="single" w:color="auto" w:sz="4" w:space="0"/>
            </w:tcBorders>
            <w:vAlign w:val="center"/>
          </w:tcPr>
          <w:p w14:paraId="6A8D9E88">
            <w:pPr>
              <w:widowControl/>
              <w:jc w:val="center"/>
              <w:rPr>
                <w:rFonts w:ascii="Times New Roman" w:hAnsi="Times New Roman"/>
                <w:szCs w:val="21"/>
              </w:rPr>
            </w:pPr>
          </w:p>
        </w:tc>
      </w:tr>
    </w:tbl>
    <w:p w14:paraId="3BF96928">
      <w:pPr>
        <w:adjustRightInd w:val="0"/>
        <w:snapToGrid w:val="0"/>
        <w:spacing w:line="240" w:lineRule="exact"/>
      </w:pPr>
      <w:r>
        <w:rPr>
          <w:rFonts w:ascii="Times New Roman" w:hAnsi="Times New Roman" w:eastAsia="方正仿宋_GB2312"/>
          <w:szCs w:val="21"/>
        </w:rPr>
        <w:t>特殊人才：符合条件的博士研究生报名直接进入体检、考察</w:t>
      </w:r>
      <w:r>
        <w:rPr>
          <w:rFonts w:hint="eastAsia" w:ascii="Times New Roman" w:hAnsi="Times New Roman" w:eastAsia="方正仿宋_GB2312"/>
          <w:szCs w:val="21"/>
        </w:rPr>
        <w:t>环节</w:t>
      </w:r>
    </w:p>
    <w:p w14:paraId="180C5DEB"/>
    <w:p w14:paraId="3FF5E40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黑体" w:eastAsia="方正小标宋简体" w:cs="Times New Roman"/>
          <w:b w:val="0"/>
          <w:spacing w:val="-11"/>
          <w:w w:val="100"/>
          <w:sz w:val="32"/>
          <w:szCs w:val="32"/>
          <w:lang w:val="en-US" w:eastAsia="zh-CN"/>
        </w:rPr>
      </w:pPr>
      <w:r>
        <w:rPr>
          <w:rFonts w:hint="default" w:ascii="方正小标宋简体" w:hAnsi="方正小标宋简体" w:eastAsia="方正小标宋简体" w:cs="方正小标宋简体"/>
          <w:b w:val="0"/>
          <w:bCs/>
          <w:sz w:val="44"/>
          <w:szCs w:val="44"/>
          <w:lang w:val="en-US" w:eastAsia="zh-CN"/>
        </w:rPr>
        <w:t>通辽市直事业单位2026年第</w:t>
      </w:r>
      <w:r>
        <w:rPr>
          <w:rFonts w:hint="eastAsia" w:ascii="方正小标宋简体" w:hAnsi="方正小标宋简体" w:eastAsia="方正小标宋简体" w:cs="方正小标宋简体"/>
          <w:b w:val="0"/>
          <w:bCs/>
          <w:sz w:val="44"/>
          <w:szCs w:val="44"/>
          <w:lang w:val="en-US" w:eastAsia="zh-CN"/>
        </w:rPr>
        <w:t>二</w:t>
      </w:r>
      <w:r>
        <w:rPr>
          <w:rFonts w:hint="default" w:ascii="方正小标宋简体" w:hAnsi="方正小标宋简体" w:eastAsia="方正小标宋简体" w:cs="方正小标宋简体"/>
          <w:b w:val="0"/>
          <w:bCs/>
          <w:sz w:val="44"/>
          <w:szCs w:val="44"/>
          <w:lang w:val="en-US" w:eastAsia="zh-CN"/>
        </w:rPr>
        <w:t>批次人才引进</w:t>
      </w:r>
      <w:r>
        <w:rPr>
          <w:rFonts w:hint="eastAsia" w:ascii="方正小标宋简体" w:hAnsi="方正小标宋简体" w:eastAsia="方正小标宋简体" w:cs="方正小标宋简体"/>
          <w:b w:val="0"/>
          <w:bCs/>
          <w:sz w:val="44"/>
          <w:szCs w:val="44"/>
          <w:lang w:val="en-US" w:eastAsia="zh-CN"/>
        </w:rPr>
        <w:t>体育系统</w:t>
      </w:r>
      <w:r>
        <w:rPr>
          <w:rFonts w:hint="default" w:ascii="方正小标宋简体" w:hAnsi="方正小标宋简体" w:eastAsia="方正小标宋简体" w:cs="方正小标宋简体"/>
          <w:b w:val="0"/>
          <w:bCs/>
          <w:sz w:val="44"/>
          <w:szCs w:val="44"/>
          <w:lang w:val="en-US" w:eastAsia="zh-CN"/>
        </w:rPr>
        <w:t>岗位人才评价表</w:t>
      </w:r>
      <w:r>
        <w:rPr>
          <w:rFonts w:hint="eastAsia" w:ascii="方正小标宋简体" w:hAnsi="方正小标宋简体" w:eastAsia="方正小标宋简体" w:cs="方正小标宋简体"/>
          <w:b w:val="0"/>
          <w:bCs/>
          <w:sz w:val="44"/>
          <w:szCs w:val="44"/>
          <w:lang w:val="en-US" w:eastAsia="zh-CN"/>
        </w:rPr>
        <w:t>填报说明</w:t>
      </w:r>
    </w:p>
    <w:p w14:paraId="36FAEFFE">
      <w:pPr>
        <w:spacing w:line="600" w:lineRule="exact"/>
        <w:jc w:val="both"/>
        <w:rPr>
          <w:rFonts w:hint="eastAsia" w:ascii="方正小标宋简体" w:hAnsi="方正小标宋简体" w:eastAsia="方正小标宋简体" w:cs="方正小标宋简体"/>
          <w:b w:val="0"/>
          <w:bCs/>
          <w:sz w:val="44"/>
          <w:szCs w:val="44"/>
        </w:rPr>
      </w:pPr>
    </w:p>
    <w:p w14:paraId="7040BC04">
      <w:pPr>
        <w:spacing w:line="560" w:lineRule="exact"/>
        <w:ind w:firstLine="640" w:firstLineChars="200"/>
        <w:rPr>
          <w:rFonts w:ascii="黑体" w:hAnsi="黑体" w:eastAsia="黑体" w:cs="黑体"/>
          <w:b w:val="0"/>
          <w:bCs/>
          <w:sz w:val="32"/>
          <w:szCs w:val="32"/>
        </w:rPr>
      </w:pPr>
      <w:r>
        <w:rPr>
          <w:rFonts w:ascii="黑体" w:hAnsi="黑体" w:eastAsia="黑体" w:cs="黑体"/>
          <w:b w:val="0"/>
          <w:bCs/>
          <w:sz w:val="32"/>
          <w:szCs w:val="32"/>
        </w:rPr>
        <w:t>一、专业层次方面</w:t>
      </w:r>
    </w:p>
    <w:p w14:paraId="1ECBAAF9">
      <w:pPr>
        <w:spacing w:line="560" w:lineRule="exac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一）A类、B类高校和一流学科目录，以《教育部、财政部、国家发展改革委关于公布世界一流大学和一流学科建设高校及建设学科名单的通知》（教研函〔2017〕2号）《教育部、财政部、国家发展改革委关于公布第二轮“双一流”建设高校及建设学科名单的通知》（教研函〔2022〕1号）为准。</w:t>
      </w:r>
    </w:p>
    <w:p w14:paraId="3D1CA0AC">
      <w:pPr>
        <w:spacing w:line="560" w:lineRule="exac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（二）在一流学科认定上，所学专业须属该学科内专业。</w:t>
      </w:r>
    </w:p>
    <w:p w14:paraId="07D3CD37">
      <w:pPr>
        <w:spacing w:line="560" w:lineRule="exac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（三）海外学历学校排名以202</w:t>
      </w:r>
      <w:r>
        <w:rPr>
          <w:rFonts w:hint="eastAsia" w:ascii="仿宋" w:hAnsi="仿宋" w:eastAsia="仿宋" w:cs="仿宋"/>
          <w:b w:val="0"/>
          <w:bCs/>
          <w:sz w:val="32"/>
          <w:szCs w:val="32"/>
          <w:lang w:val="en-US" w:eastAsia="zh-CN"/>
        </w:rPr>
        <w:t>4</w:t>
      </w:r>
      <w:r>
        <w:rPr>
          <w:rFonts w:hint="eastAsia" w:ascii="仿宋" w:hAnsi="仿宋" w:eastAsia="仿宋" w:cs="仿宋"/>
          <w:b w:val="0"/>
          <w:bCs/>
          <w:sz w:val="32"/>
          <w:szCs w:val="32"/>
        </w:rPr>
        <w:t>、202</w:t>
      </w:r>
      <w:r>
        <w:rPr>
          <w:rFonts w:hint="eastAsia" w:ascii="仿宋" w:hAnsi="仿宋" w:eastAsia="仿宋" w:cs="仿宋"/>
          <w:b w:val="0"/>
          <w:bCs/>
          <w:sz w:val="32"/>
          <w:szCs w:val="32"/>
          <w:lang w:val="en-US" w:eastAsia="zh-CN"/>
        </w:rPr>
        <w:t>5</w:t>
      </w:r>
      <w:r>
        <w:rPr>
          <w:rFonts w:hint="eastAsia" w:ascii="仿宋" w:hAnsi="仿宋" w:eastAsia="仿宋" w:cs="仿宋"/>
          <w:b w:val="0"/>
          <w:bCs/>
          <w:sz w:val="32"/>
          <w:szCs w:val="32"/>
        </w:rPr>
        <w:t>年度世界综合排名（英国QS世界大学排名、泰晤士高等教育世界大学排名、《美国新闻与世界报道》世界大学排名、软科世界大学学术排名</w:t>
      </w:r>
      <w:r>
        <w:rPr>
          <w:rFonts w:hint="eastAsia" w:ascii="仿宋" w:hAnsi="仿宋" w:eastAsia="仿宋" w:cs="仿宋"/>
          <w:b w:val="0"/>
          <w:bCs/>
          <w:sz w:val="32"/>
          <w:szCs w:val="32"/>
          <w:lang w:val="en-US" w:eastAsia="zh-CN"/>
        </w:rPr>
        <w:t>之一</w:t>
      </w:r>
      <w:r>
        <w:rPr>
          <w:rFonts w:hint="eastAsia" w:ascii="仿宋" w:hAnsi="仿宋" w:eastAsia="仿宋" w:cs="仿宋"/>
          <w:b w:val="0"/>
          <w:bCs/>
          <w:sz w:val="32"/>
          <w:szCs w:val="32"/>
        </w:rPr>
        <w:t>）为准。</w:t>
      </w:r>
    </w:p>
    <w:p w14:paraId="7B20DE27">
      <w:pPr>
        <w:spacing w:line="560" w:lineRule="exact"/>
        <w:ind w:firstLine="640" w:firstLineChars="200"/>
        <w:rPr>
          <w:rFonts w:ascii="黑体" w:hAnsi="黑体" w:eastAsia="黑体" w:cs="黑体"/>
          <w:b w:val="0"/>
          <w:bCs/>
          <w:sz w:val="32"/>
          <w:szCs w:val="32"/>
        </w:rPr>
      </w:pPr>
      <w:r>
        <w:rPr>
          <w:rFonts w:ascii="黑体" w:hAnsi="黑体" w:eastAsia="黑体" w:cs="黑体"/>
          <w:b w:val="0"/>
          <w:bCs/>
          <w:sz w:val="32"/>
          <w:szCs w:val="32"/>
        </w:rPr>
        <w:t>二、</w:t>
      </w:r>
      <w:r>
        <w:rPr>
          <w:rFonts w:hint="eastAsia" w:ascii="黑体" w:hAnsi="黑体" w:eastAsia="黑体" w:cs="黑体"/>
          <w:b w:val="0"/>
          <w:bCs/>
          <w:sz w:val="32"/>
          <w:szCs w:val="32"/>
        </w:rPr>
        <w:t>执教成绩及运动成绩</w:t>
      </w:r>
    </w:p>
    <w:p w14:paraId="0A33DAE6">
      <w:pPr>
        <w:spacing w:line="560" w:lineRule="exact"/>
        <w:ind w:firstLine="640" w:firstLineChars="200"/>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eastAsia="zh-CN"/>
        </w:rPr>
        <w:t>（</w:t>
      </w:r>
      <w:r>
        <w:rPr>
          <w:rFonts w:hint="eastAsia" w:ascii="仿宋" w:hAnsi="仿宋" w:eastAsia="仿宋" w:cs="仿宋"/>
          <w:b w:val="0"/>
          <w:bCs/>
          <w:sz w:val="32"/>
          <w:szCs w:val="32"/>
          <w:lang w:val="en-US" w:eastAsia="zh-CN"/>
        </w:rPr>
        <w:t>一</w:t>
      </w:r>
      <w:r>
        <w:rPr>
          <w:rFonts w:hint="eastAsia" w:ascii="仿宋" w:hAnsi="仿宋" w:eastAsia="仿宋" w:cs="仿宋"/>
          <w:b w:val="0"/>
          <w:bCs/>
          <w:sz w:val="32"/>
          <w:szCs w:val="32"/>
          <w:lang w:eastAsia="zh-CN"/>
        </w:rPr>
        <w:t>）</w:t>
      </w:r>
      <w:r>
        <w:rPr>
          <w:rFonts w:hint="eastAsia" w:ascii="仿宋" w:hAnsi="仿宋" w:eastAsia="仿宋" w:cs="仿宋"/>
          <w:b w:val="0"/>
          <w:bCs/>
          <w:sz w:val="32"/>
          <w:szCs w:val="32"/>
        </w:rPr>
        <w:t>作为主教练，</w:t>
      </w:r>
      <w:r>
        <w:rPr>
          <w:rFonts w:hint="eastAsia" w:ascii="仿宋" w:hAnsi="仿宋" w:eastAsia="仿宋" w:cs="仿宋"/>
          <w:b w:val="0"/>
          <w:bCs/>
          <w:sz w:val="32"/>
          <w:szCs w:val="32"/>
          <w:lang w:val="en-US" w:eastAsia="zh-CN"/>
        </w:rPr>
        <w:t>直接带训的，需对该运动员累计系统训练满2年以上</w:t>
      </w:r>
      <w:r>
        <w:rPr>
          <w:rFonts w:hint="eastAsia" w:ascii="仿宋" w:hAnsi="仿宋" w:eastAsia="仿宋" w:cs="仿宋"/>
          <w:b w:val="0"/>
          <w:bCs/>
          <w:sz w:val="32"/>
          <w:szCs w:val="32"/>
        </w:rPr>
        <w:t>。</w:t>
      </w:r>
      <w:r>
        <w:rPr>
          <w:rFonts w:hint="eastAsia" w:ascii="仿宋" w:hAnsi="仿宋" w:eastAsia="仿宋" w:cs="仿宋"/>
          <w:b w:val="0"/>
          <w:bCs/>
          <w:sz w:val="32"/>
          <w:szCs w:val="32"/>
          <w:lang w:val="en-US" w:eastAsia="zh-CN"/>
        </w:rPr>
        <w:t>输送的运动员，需对运动员累计带训满2年以上，且正式输送至上级训练组织；输送至上级单位的运动员，其后续取得的成绩，需在输送完成后4年内取得，方可计入原输送教练员的业绩。</w:t>
      </w:r>
    </w:p>
    <w:p w14:paraId="691F5F29">
      <w:pPr>
        <w:spacing w:line="560" w:lineRule="exact"/>
        <w:ind w:firstLine="640" w:firstLineChars="200"/>
        <w:rPr>
          <w:rFonts w:hint="default"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（二）需提供对应比赛的正式秩序册、决赛成绩册、获奖证书。其中秩序册须明确标注该运动员/运动队的“主教练”姓名，与引进人完全一致；成绩册须清晰载明对应名次。</w:t>
      </w:r>
    </w:p>
    <w:p w14:paraId="727E0B7D">
      <w:pPr>
        <w:spacing w:line="560" w:lineRule="exac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lang w:eastAsia="zh-CN"/>
        </w:rPr>
        <w:t>（</w:t>
      </w:r>
      <w:r>
        <w:rPr>
          <w:rFonts w:hint="eastAsia" w:ascii="仿宋" w:hAnsi="仿宋" w:eastAsia="仿宋" w:cs="仿宋"/>
          <w:b w:val="0"/>
          <w:bCs/>
          <w:sz w:val="32"/>
          <w:szCs w:val="32"/>
          <w:lang w:val="en-US" w:eastAsia="zh-CN"/>
        </w:rPr>
        <w:t>三</w:t>
      </w:r>
      <w:r>
        <w:rPr>
          <w:rFonts w:hint="eastAsia" w:ascii="仿宋" w:hAnsi="仿宋" w:eastAsia="仿宋" w:cs="仿宋"/>
          <w:b w:val="0"/>
          <w:bCs/>
          <w:sz w:val="32"/>
          <w:szCs w:val="32"/>
          <w:lang w:eastAsia="zh-CN"/>
        </w:rPr>
        <w:t>）</w:t>
      </w:r>
      <w:r>
        <w:rPr>
          <w:rFonts w:hint="eastAsia" w:ascii="仿宋" w:hAnsi="仿宋" w:eastAsia="仿宋" w:cs="仿宋"/>
          <w:b w:val="0"/>
          <w:bCs/>
          <w:sz w:val="32"/>
          <w:szCs w:val="32"/>
        </w:rPr>
        <w:t>通过运动成绩引进的教练员，</w:t>
      </w:r>
      <w:r>
        <w:rPr>
          <w:rFonts w:hint="eastAsia" w:ascii="仿宋" w:hAnsi="仿宋" w:eastAsia="仿宋" w:cs="仿宋"/>
          <w:b w:val="0"/>
          <w:bCs/>
          <w:sz w:val="32"/>
          <w:szCs w:val="32"/>
          <w:lang w:val="en-US" w:eastAsia="zh-CN"/>
        </w:rPr>
        <w:t>应提供所参加赛事的官方原始文书（秩序册+成绩册）或由赛事组委会直接颁发给运动员本人的证书凭证，证书上明确标注运动员姓名、参赛项目、取得名次、赛事名称、举办时间，并加盖赛事组委会公章</w:t>
      </w:r>
      <w:r>
        <w:rPr>
          <w:rFonts w:hint="eastAsia" w:ascii="仿宋" w:hAnsi="仿宋" w:eastAsia="仿宋" w:cs="仿宋"/>
          <w:b w:val="0"/>
          <w:bCs/>
          <w:sz w:val="32"/>
          <w:szCs w:val="32"/>
        </w:rPr>
        <w:t>。若原始赛事材料丢失，</w:t>
      </w:r>
      <w:r>
        <w:rPr>
          <w:rFonts w:hint="eastAsia" w:ascii="仿宋" w:hAnsi="仿宋" w:eastAsia="仿宋" w:cs="仿宋"/>
          <w:b w:val="0"/>
          <w:bCs/>
          <w:sz w:val="32"/>
          <w:szCs w:val="32"/>
          <w:lang w:val="en-US" w:eastAsia="zh-CN"/>
        </w:rPr>
        <w:t>也可提供</w:t>
      </w:r>
      <w:r>
        <w:rPr>
          <w:rFonts w:hint="eastAsia" w:ascii="仿宋" w:hAnsi="仿宋" w:eastAsia="仿宋" w:cs="仿宋"/>
          <w:b w:val="0"/>
          <w:bCs/>
          <w:sz w:val="32"/>
          <w:szCs w:val="32"/>
        </w:rPr>
        <w:t>运动员所属地的体育局竞训部门开具</w:t>
      </w:r>
      <w:r>
        <w:rPr>
          <w:rFonts w:hint="eastAsia" w:ascii="仿宋" w:hAnsi="仿宋" w:eastAsia="仿宋" w:cs="仿宋"/>
          <w:b w:val="0"/>
          <w:bCs/>
          <w:sz w:val="32"/>
          <w:szCs w:val="32"/>
          <w:lang w:eastAsia="zh-CN"/>
        </w:rPr>
        <w:t>的</w:t>
      </w:r>
      <w:r>
        <w:rPr>
          <w:rFonts w:hint="eastAsia" w:ascii="仿宋" w:hAnsi="仿宋" w:eastAsia="仿宋" w:cs="仿宋"/>
          <w:b w:val="0"/>
          <w:bCs/>
          <w:sz w:val="32"/>
          <w:szCs w:val="32"/>
        </w:rPr>
        <w:t>官方成绩证明。</w:t>
      </w:r>
    </w:p>
    <w:p w14:paraId="2C5E4E3D">
      <w:pPr>
        <w:spacing w:line="560" w:lineRule="exact"/>
        <w:ind w:firstLine="640" w:firstLineChars="200"/>
        <w:rPr>
          <w:rFonts w:hint="default" w:ascii="仿宋" w:hAnsi="仿宋" w:eastAsia="仿宋" w:cs="仿宋"/>
          <w:b w:val="0"/>
          <w:bCs/>
          <w:sz w:val="32"/>
          <w:szCs w:val="32"/>
          <w:lang w:val="en-US" w:eastAsia="zh-CN"/>
        </w:rPr>
      </w:pPr>
      <w:r>
        <w:rPr>
          <w:rFonts w:hint="eastAsia" w:ascii="仿宋" w:hAnsi="仿宋" w:eastAsia="仿宋" w:cs="仿宋"/>
          <w:b w:val="0"/>
          <w:bCs/>
          <w:sz w:val="32"/>
          <w:szCs w:val="32"/>
          <w:lang w:eastAsia="zh-CN"/>
        </w:rPr>
        <w:t>（</w:t>
      </w:r>
      <w:r>
        <w:rPr>
          <w:rFonts w:hint="eastAsia" w:ascii="仿宋" w:hAnsi="仿宋" w:eastAsia="仿宋" w:cs="仿宋"/>
          <w:b w:val="0"/>
          <w:bCs/>
          <w:sz w:val="32"/>
          <w:szCs w:val="32"/>
          <w:lang w:val="en-US" w:eastAsia="zh-CN"/>
        </w:rPr>
        <w:t>四</w:t>
      </w:r>
      <w:r>
        <w:rPr>
          <w:rFonts w:hint="eastAsia" w:ascii="仿宋" w:hAnsi="仿宋" w:eastAsia="仿宋" w:cs="仿宋"/>
          <w:b w:val="0"/>
          <w:bCs/>
          <w:sz w:val="32"/>
          <w:szCs w:val="32"/>
          <w:lang w:eastAsia="zh-CN"/>
        </w:rPr>
        <w:t>）</w:t>
      </w:r>
      <w:r>
        <w:rPr>
          <w:rFonts w:hint="eastAsia" w:ascii="仿宋" w:hAnsi="仿宋" w:eastAsia="仿宋" w:cs="仿宋"/>
          <w:b w:val="0"/>
          <w:bCs/>
          <w:sz w:val="32"/>
          <w:szCs w:val="32"/>
          <w:lang w:val="en-US" w:eastAsia="zh-CN"/>
        </w:rPr>
        <w:t>以上所列赛事均指成年人赛事，青少年赛事所获成绩不作为运动成绩评价标准。</w:t>
      </w:r>
    </w:p>
    <w:p w14:paraId="1095935C">
      <w:pPr>
        <w:spacing w:line="560" w:lineRule="exact"/>
        <w:ind w:firstLine="640" w:firstLineChars="200"/>
        <w:rPr>
          <w:rFonts w:ascii="黑体" w:hAnsi="黑体" w:eastAsia="黑体" w:cs="黑体"/>
          <w:b w:val="0"/>
          <w:bCs/>
          <w:sz w:val="32"/>
          <w:szCs w:val="32"/>
        </w:rPr>
      </w:pPr>
      <w:r>
        <w:rPr>
          <w:rFonts w:hint="eastAsia" w:ascii="黑体" w:hAnsi="黑体" w:eastAsia="黑体" w:cs="黑体"/>
          <w:b w:val="0"/>
          <w:bCs/>
          <w:sz w:val="32"/>
          <w:szCs w:val="32"/>
        </w:rPr>
        <w:t>三、职业资格方面</w:t>
      </w:r>
      <w:bookmarkStart w:id="0" w:name="_GoBack"/>
      <w:bookmarkEnd w:id="0"/>
    </w:p>
    <w:p w14:paraId="5D04681F">
      <w:pPr>
        <w:spacing w:line="560" w:lineRule="exac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需提供职业资格证原件及复印件。</w:t>
      </w:r>
    </w:p>
    <w:p w14:paraId="682C17D4">
      <w:pPr>
        <w:spacing w:line="560" w:lineRule="exact"/>
        <w:ind w:firstLine="640" w:firstLineChars="200"/>
        <w:rPr>
          <w:rFonts w:ascii="黑体" w:hAnsi="黑体" w:eastAsia="黑体" w:cs="黑体"/>
          <w:b w:val="0"/>
          <w:bCs/>
          <w:sz w:val="32"/>
          <w:szCs w:val="32"/>
        </w:rPr>
      </w:pPr>
      <w:r>
        <w:rPr>
          <w:rFonts w:hint="eastAsia" w:ascii="黑体" w:hAnsi="黑体" w:eastAsia="黑体" w:cs="黑体"/>
          <w:b w:val="0"/>
          <w:bCs/>
          <w:sz w:val="32"/>
          <w:szCs w:val="32"/>
        </w:rPr>
        <w:t>四、体育竞技技术水平</w:t>
      </w:r>
    </w:p>
    <w:p w14:paraId="03DC015A">
      <w:pPr>
        <w:spacing w:line="560" w:lineRule="exact"/>
        <w:ind w:firstLine="640" w:firstLineChars="200"/>
      </w:pPr>
      <w:r>
        <w:rPr>
          <w:rFonts w:hint="eastAsia" w:ascii="仿宋" w:hAnsi="仿宋" w:eastAsia="仿宋" w:cs="仿宋"/>
          <w:b w:val="0"/>
          <w:bCs/>
          <w:sz w:val="32"/>
          <w:szCs w:val="32"/>
          <w:lang w:val="en-US" w:eastAsia="zh-CN"/>
        </w:rPr>
        <w:t>所取得运动员等级证书需在</w:t>
      </w:r>
      <w:r>
        <w:rPr>
          <w:rFonts w:hint="eastAsia" w:ascii="仿宋" w:hAnsi="仿宋" w:eastAsia="仿宋" w:cs="仿宋"/>
          <w:b w:val="0"/>
          <w:bCs/>
          <w:sz w:val="32"/>
          <w:szCs w:val="32"/>
        </w:rPr>
        <w:t>运动员技术等级综合管理系统</w:t>
      </w:r>
      <w:r>
        <w:rPr>
          <w:rFonts w:hint="eastAsia" w:ascii="仿宋" w:hAnsi="仿宋" w:eastAsia="仿宋" w:cs="仿宋"/>
          <w:b w:val="0"/>
          <w:bCs/>
          <w:sz w:val="32"/>
          <w:szCs w:val="32"/>
          <w:lang w:val="en-US" w:eastAsia="zh-CN"/>
        </w:rPr>
        <w:t>中可查，姓名、身份证号、运动项目、等级称号、证书编号、授予时间，与官方系统公示信息完全匹配</w:t>
      </w:r>
      <w:r>
        <w:rPr>
          <w:rFonts w:hint="eastAsia" w:ascii="仿宋" w:hAnsi="仿宋" w:eastAsia="仿宋" w:cs="仿宋"/>
          <w:b w:val="0"/>
          <w:bCs/>
          <w:sz w:val="32"/>
          <w:szCs w:val="32"/>
        </w:rPr>
        <w:t>。</w:t>
      </w:r>
    </w:p>
    <w:p w14:paraId="6E2722CE"/>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简体">
    <w:altName w:val="微软雅黑"/>
    <w:panose1 w:val="02000000000000000000"/>
    <w:charset w:val="86"/>
    <w:family w:val="auto"/>
    <w:pitch w:val="default"/>
    <w:sig w:usb0="00000000" w:usb1="00000000" w:usb2="00000012"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66100">
    <w:pPr>
      <w:pStyle w:val="3"/>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-520700</wp:posOffset>
              </wp:positionV>
              <wp:extent cx="1828800" cy="27305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273050"/>
                      </a:xfrm>
                      <a:prstGeom prst="rect">
                        <a:avLst/>
                      </a:prstGeom>
                      <a:noFill/>
                      <a:ln w="6350">
                        <a:noFill/>
                      </a:ln>
                      <a:effectLst/>
                    </wps:spPr>
                    <wps:txbx>
                      <w:txbxContent>
                        <w:p w14:paraId="17E0804A">
                          <w:pPr>
                            <w:pStyle w:val="3"/>
                            <w:rPr>
                              <w:rFonts w:hint="eastAsia" w:ascii="宋体" w:hAnsi="宋体" w:cs="宋体"/>
                              <w:sz w:val="28"/>
                              <w:szCs w:val="28"/>
                            </w:rPr>
                          </w:pPr>
                        </w:p>
                      </w:txbxContent>
                    </wps:txbx>
                    <wps:bodyPr rot="0" spcFirstLastPara="0" vertOverflow="overflow" horzOverflow="overflow" vert="horz" wrap="non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41pt;height:21.5pt;width:144pt;mso-position-horizontal:outside;mso-position-horizontal-relative:margin;mso-wrap-style:none;z-index:251659264;mso-width-relative:page;mso-height-relative:page;" filled="f" stroked="f" coordsize="21600,21600" o:gfxdata="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HlV3vXAAAACAEAAA8AAAAAAAAAAQAgAAAAIgAAAGRycy9kb3ducmV2Lnht&#10;bFBLAQIUABQAAAAIAIdO4kBV7ytDMwIAAGIEAAAOAAAAAAAAAAEAIAAAACYBAABkcnMvZTJvRG9j&#10;LnhtbFBLBQYAAAAABgAGAFkBAADLBQAAAAA=&#10;">
              <v:fill on="f" focussize="0,0"/>
              <v:stroke on="f" weight="0.5pt"/>
              <v:imagedata o:title=""/>
              <o:lock v:ext="edit" aspectratio="f"/>
              <v:textbox inset="0mm,0mm,0mm,0mm">
                <w:txbxContent>
                  <w:p w14:paraId="17E0804A">
                    <w:pPr>
                      <w:pStyle w:val="3"/>
                      <w:rPr>
                        <w:rFonts w:hint="eastAsia" w:ascii="宋体" w:hAnsi="宋体" w:cs="宋体"/>
                        <w:sz w:val="28"/>
                        <w:szCs w:val="28"/>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643203"/>
    <w:multiLevelType w:val="singleLevel"/>
    <w:tmpl w:val="FE643203"/>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saveSubsetFonts/>
  <w:bordersDoNotSurroundHeader w:val="1"/>
  <w:bordersDoNotSurroundFooter w:val="1"/>
  <w:documentProtection w:enforcement="0"/>
  <w:defaultTabStop w:val="420"/>
  <w:drawingGridVerticalSpacing w:val="15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0C195F"/>
    <w:rsid w:val="05666F22"/>
    <w:rsid w:val="0E4763B4"/>
    <w:rsid w:val="25034EC9"/>
    <w:rsid w:val="2FCB4B30"/>
    <w:rsid w:val="34D97220"/>
    <w:rsid w:val="35A3428A"/>
    <w:rsid w:val="38C37A27"/>
    <w:rsid w:val="3C6A3D54"/>
    <w:rsid w:val="4A0C195F"/>
    <w:rsid w:val="4ACB08AD"/>
    <w:rsid w:val="4FC6645A"/>
    <w:rsid w:val="6E4E34B6"/>
    <w:rsid w:val="712062A2"/>
    <w:rsid w:val="771D6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Lines="0" w:beforeAutospacing="0" w:afterLines="0" w:afterAutospacing="0" w:line="240" w:lineRule="auto"/>
      <w:ind w:firstLine="643" w:firstLineChars="200"/>
      <w:outlineLvl w:val="0"/>
    </w:pPr>
    <w:rPr>
      <w:rFonts w:eastAsia="方正黑体简体" w:asciiTheme="minorAscii" w:hAnsiTheme="minorAscii"/>
      <w:kern w:val="44"/>
      <w:sz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8</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2026-05-22T04:15:00Z</dcterms:created>
  <dc:creator>念</dc:creator>
  <cp:lastModifiedBy>TYJ</cp:lastModifiedBy>
  <dcterms:modified xsi:type="dcterms:W3CDTF">2026-06-25T08:28:30Z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6E19997BF7D94434A2F4BB4B542CDA87_13</vt:lpwstr>
  </property>
  <property fmtid="{D5CDD505-2E9C-101B-9397-08002B2CF9AE}" pid="4" name="KSOTemplateDocerSaveRecord">
    <vt:lpwstr>eyJoZGlkIjoiYmMzYzNkZjU0YjUwZDg0NGI4OTFmYzYxNTI5MmZiMmIiLCJ1c2VySWQiOiIyNjQ0MDYxMzIifQ==</vt:lpwstr>
  </property>
</Properties>
</file>